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59" w:rsidRDefault="00430B59"/>
    <w:p w:rsidR="008B4DFE" w:rsidRDefault="008B4DFE"/>
    <w:p w:rsidR="008B4DFE" w:rsidRPr="008B4DFE" w:rsidRDefault="008B4DFE" w:rsidP="008B4D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39B7" w:rsidRPr="008B4DFE">
        <w:rPr>
          <w:noProof/>
          <w:sz w:val="28"/>
          <w:szCs w:val="28"/>
        </w:rPr>
        <w:drawing>
          <wp:inline distT="0" distB="0" distL="0" distR="0">
            <wp:extent cx="895350" cy="12858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</w:t>
      </w:r>
      <w:r w:rsidR="006139B7">
        <w:rPr>
          <w:sz w:val="28"/>
          <w:szCs w:val="28"/>
        </w:rPr>
        <w:t xml:space="preserve">                </w:t>
      </w:r>
    </w:p>
    <w:tbl>
      <w:tblPr>
        <w:tblpPr w:leftFromText="180" w:rightFromText="180" w:vertAnchor="text" w:tblpY="1"/>
        <w:tblOverlap w:val="never"/>
        <w:tblW w:w="264" w:type="dxa"/>
        <w:tblLook w:val="0000"/>
      </w:tblPr>
      <w:tblGrid>
        <w:gridCol w:w="264"/>
      </w:tblGrid>
      <w:tr w:rsidR="008B4DFE" w:rsidRPr="008B4DFE" w:rsidTr="00467C6F">
        <w:trPr>
          <w:cantSplit/>
          <w:trHeight w:val="509"/>
        </w:trPr>
        <w:tc>
          <w:tcPr>
            <w:tcW w:w="264" w:type="dxa"/>
            <w:vMerge w:val="restart"/>
            <w:vAlign w:val="bottom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  <w:lang w:val="en-US"/>
              </w:rPr>
            </w:pPr>
          </w:p>
          <w:p w:rsidR="008B4DFE" w:rsidRPr="008B4DFE" w:rsidRDefault="008B4DFE" w:rsidP="008B4DFE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B4DFE" w:rsidRPr="008B4DFE" w:rsidTr="00467C6F">
        <w:trPr>
          <w:cantSplit/>
          <w:trHeight w:val="509"/>
        </w:trPr>
        <w:tc>
          <w:tcPr>
            <w:tcW w:w="0" w:type="auto"/>
            <w:vMerge/>
            <w:vAlign w:val="center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</w:p>
        </w:tc>
      </w:tr>
      <w:tr w:rsidR="008B4DFE" w:rsidRPr="008B4DFE" w:rsidTr="00467C6F">
        <w:trPr>
          <w:cantSplit/>
          <w:trHeight w:val="119"/>
        </w:trPr>
        <w:tc>
          <w:tcPr>
            <w:tcW w:w="264" w:type="dxa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</w:p>
        </w:tc>
      </w:tr>
    </w:tbl>
    <w:p w:rsidR="008B4DFE" w:rsidRPr="008B4DFE" w:rsidRDefault="008B4DFE" w:rsidP="006139B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8B4DFE">
        <w:rPr>
          <w:b/>
          <w:sz w:val="28"/>
          <w:szCs w:val="28"/>
        </w:rPr>
        <w:t>СОВЕТ</w:t>
      </w:r>
    </w:p>
    <w:p w:rsidR="008B4DFE" w:rsidRPr="008B4DFE" w:rsidRDefault="008B4DFE" w:rsidP="006139B7">
      <w:pPr>
        <w:spacing w:line="276" w:lineRule="auto"/>
        <w:jc w:val="center"/>
        <w:rPr>
          <w:b/>
          <w:sz w:val="28"/>
          <w:szCs w:val="28"/>
        </w:rPr>
      </w:pPr>
      <w:r w:rsidRPr="008B4DFE">
        <w:rPr>
          <w:b/>
          <w:sz w:val="28"/>
          <w:szCs w:val="28"/>
        </w:rPr>
        <w:t>МУНИЦИПАЛЬНОГО ОБРАЗОВАНИЯ ГОРОД КРАСНОАРМЕЙСК КРАСНОАРМЕЙСКОГО МУНИЦИПАЛЬНОГО РАЙОНА</w:t>
      </w:r>
    </w:p>
    <w:p w:rsidR="008B4DFE" w:rsidRPr="008B4DFE" w:rsidRDefault="008B4DFE" w:rsidP="006139B7">
      <w:pPr>
        <w:spacing w:line="276" w:lineRule="auto"/>
        <w:jc w:val="center"/>
        <w:rPr>
          <w:b/>
          <w:sz w:val="28"/>
          <w:szCs w:val="28"/>
        </w:rPr>
      </w:pPr>
      <w:r w:rsidRPr="008B4DFE">
        <w:rPr>
          <w:b/>
          <w:sz w:val="28"/>
          <w:szCs w:val="28"/>
        </w:rPr>
        <w:t>САРАТОВСКОЙ ОБЛАСТИ</w:t>
      </w:r>
    </w:p>
    <w:p w:rsidR="008B4DFE" w:rsidRPr="008B4DFE" w:rsidRDefault="008B4DFE" w:rsidP="008B4DFE">
      <w:pPr>
        <w:jc w:val="both"/>
        <w:rPr>
          <w:sz w:val="28"/>
          <w:szCs w:val="28"/>
          <w:u w:val="single"/>
        </w:rPr>
      </w:pPr>
    </w:p>
    <w:p w:rsidR="008B4DFE" w:rsidRPr="008B4DFE" w:rsidRDefault="008B4DFE" w:rsidP="008B4DFE">
      <w:pPr>
        <w:jc w:val="center"/>
        <w:rPr>
          <w:b/>
          <w:bCs/>
          <w:sz w:val="28"/>
          <w:szCs w:val="28"/>
        </w:rPr>
      </w:pPr>
      <w:r w:rsidRPr="008B4DFE">
        <w:rPr>
          <w:b/>
          <w:bCs/>
          <w:sz w:val="28"/>
          <w:szCs w:val="28"/>
        </w:rPr>
        <w:t>Р Е Ш Е Н И Е</w:t>
      </w:r>
    </w:p>
    <w:tbl>
      <w:tblPr>
        <w:tblpPr w:leftFromText="180" w:rightFromText="180" w:vertAnchor="text" w:horzAnchor="margin" w:tblpY="81"/>
        <w:tblW w:w="0" w:type="auto"/>
        <w:tblLayout w:type="fixed"/>
        <w:tblLook w:val="0000"/>
      </w:tblPr>
      <w:tblGrid>
        <w:gridCol w:w="511"/>
        <w:gridCol w:w="2291"/>
        <w:gridCol w:w="540"/>
        <w:gridCol w:w="1558"/>
      </w:tblGrid>
      <w:tr w:rsidR="008B4DFE" w:rsidRPr="008B4DFE" w:rsidTr="00467C6F">
        <w:trPr>
          <w:cantSplit/>
          <w:trHeight w:val="322"/>
        </w:trPr>
        <w:tc>
          <w:tcPr>
            <w:tcW w:w="511" w:type="dxa"/>
            <w:vMerge w:val="restart"/>
            <w:vAlign w:val="bottom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</w:p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  <w:r w:rsidRPr="008B4DFE">
              <w:rPr>
                <w:sz w:val="28"/>
                <w:szCs w:val="28"/>
              </w:rPr>
              <w:t>от</w:t>
            </w:r>
          </w:p>
        </w:tc>
        <w:tc>
          <w:tcPr>
            <w:tcW w:w="2291" w:type="dxa"/>
            <w:vMerge w:val="restart"/>
            <w:tcBorders>
              <w:bottom w:val="dotted" w:sz="4" w:space="0" w:color="auto"/>
            </w:tcBorders>
            <w:vAlign w:val="bottom"/>
          </w:tcPr>
          <w:p w:rsidR="008B4DFE" w:rsidRPr="008B4DFE" w:rsidRDefault="00E80A55" w:rsidP="00613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  <w:r w:rsidR="006139B7">
              <w:rPr>
                <w:sz w:val="28"/>
                <w:szCs w:val="28"/>
              </w:rPr>
              <w:t>.2024</w:t>
            </w:r>
          </w:p>
        </w:tc>
        <w:tc>
          <w:tcPr>
            <w:tcW w:w="540" w:type="dxa"/>
            <w:vMerge w:val="restart"/>
            <w:vAlign w:val="bottom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  <w:r w:rsidRPr="008B4DFE">
              <w:rPr>
                <w:sz w:val="28"/>
                <w:szCs w:val="28"/>
              </w:rPr>
              <w:t>№</w:t>
            </w:r>
          </w:p>
        </w:tc>
        <w:tc>
          <w:tcPr>
            <w:tcW w:w="1558" w:type="dxa"/>
            <w:vMerge w:val="restart"/>
            <w:tcBorders>
              <w:bottom w:val="dotted" w:sz="4" w:space="0" w:color="auto"/>
            </w:tcBorders>
            <w:vAlign w:val="bottom"/>
          </w:tcPr>
          <w:p w:rsidR="008B4DFE" w:rsidRPr="008B4DFE" w:rsidRDefault="00E80A55" w:rsidP="00613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8B4DFE" w:rsidRPr="008B4DFE" w:rsidTr="00467C6F">
        <w:trPr>
          <w:cantSplit/>
          <w:trHeight w:val="322"/>
        </w:trPr>
        <w:tc>
          <w:tcPr>
            <w:tcW w:w="511" w:type="dxa"/>
            <w:vMerge/>
            <w:vAlign w:val="bottom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1" w:type="dxa"/>
            <w:vMerge/>
            <w:tcBorders>
              <w:bottom w:val="dotted" w:sz="4" w:space="0" w:color="auto"/>
            </w:tcBorders>
            <w:vAlign w:val="bottom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bottom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bottom w:val="dotted" w:sz="4" w:space="0" w:color="auto"/>
            </w:tcBorders>
            <w:vAlign w:val="bottom"/>
          </w:tcPr>
          <w:p w:rsidR="008B4DFE" w:rsidRPr="008B4DFE" w:rsidRDefault="008B4DFE" w:rsidP="008B4DFE">
            <w:pPr>
              <w:jc w:val="both"/>
              <w:rPr>
                <w:sz w:val="28"/>
                <w:szCs w:val="28"/>
              </w:rPr>
            </w:pPr>
          </w:p>
        </w:tc>
      </w:tr>
    </w:tbl>
    <w:p w:rsidR="008B4DFE" w:rsidRPr="008B4DFE" w:rsidRDefault="008B4DFE" w:rsidP="008B4DFE">
      <w:pPr>
        <w:jc w:val="both"/>
        <w:rPr>
          <w:bCs/>
          <w:sz w:val="28"/>
          <w:szCs w:val="28"/>
        </w:rPr>
      </w:pPr>
    </w:p>
    <w:p w:rsidR="008B4DFE" w:rsidRPr="008B4DFE" w:rsidRDefault="008B4DFE" w:rsidP="008B4DFE">
      <w:pPr>
        <w:jc w:val="both"/>
        <w:rPr>
          <w:b/>
          <w:sz w:val="28"/>
          <w:szCs w:val="28"/>
        </w:rPr>
      </w:pPr>
    </w:p>
    <w:p w:rsidR="008B4DFE" w:rsidRPr="008B4DFE" w:rsidRDefault="008B4DFE" w:rsidP="008B4DFE">
      <w:pPr>
        <w:jc w:val="both"/>
        <w:rPr>
          <w:b/>
          <w:bCs/>
          <w:sz w:val="28"/>
          <w:szCs w:val="28"/>
        </w:rPr>
      </w:pPr>
      <w:r w:rsidRPr="008B4DFE">
        <w:rPr>
          <w:sz w:val="28"/>
          <w:szCs w:val="28"/>
        </w:rPr>
        <w:t xml:space="preserve">         </w:t>
      </w:r>
    </w:p>
    <w:p w:rsidR="008B4DFE" w:rsidRPr="008B4DFE" w:rsidRDefault="008B4DFE" w:rsidP="008B4DFE">
      <w:pPr>
        <w:jc w:val="both"/>
        <w:rPr>
          <w:sz w:val="28"/>
          <w:szCs w:val="28"/>
        </w:rPr>
      </w:pPr>
    </w:p>
    <w:p w:rsidR="004F75F9" w:rsidRDefault="004F75F9" w:rsidP="00E80A55">
      <w:pPr>
        <w:spacing w:line="276" w:lineRule="auto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 внесении изменений в Правила землепользования и застройки муниципального образования город Красноармейск Красноармейского муниципального района Саратовской области</w:t>
      </w:r>
    </w:p>
    <w:p w:rsidR="004F75F9" w:rsidRDefault="004F75F9" w:rsidP="00E80A55">
      <w:pPr>
        <w:spacing w:before="100" w:beforeAutospacing="1" w:line="276" w:lineRule="auto"/>
        <w:ind w:firstLine="709"/>
        <w:jc w:val="both"/>
        <w:rPr>
          <w:b/>
          <w:sz w:val="28"/>
          <w:szCs w:val="28"/>
        </w:rPr>
      </w:pPr>
      <w:r w:rsidRPr="004F75F9">
        <w:rPr>
          <w:bCs/>
          <w:color w:val="000000"/>
          <w:sz w:val="28"/>
          <w:szCs w:val="28"/>
        </w:rPr>
        <w:t xml:space="preserve">В соответствии </w:t>
      </w:r>
      <w:proofErr w:type="gramStart"/>
      <w:r w:rsidRPr="004F75F9">
        <w:rPr>
          <w:bCs/>
          <w:color w:val="000000"/>
          <w:sz w:val="28"/>
          <w:szCs w:val="28"/>
        </w:rPr>
        <w:t>с</w:t>
      </w:r>
      <w:proofErr w:type="gramEnd"/>
      <w:r w:rsidRPr="004F75F9">
        <w:rPr>
          <w:bCs/>
          <w:color w:val="000000"/>
          <w:sz w:val="28"/>
          <w:szCs w:val="28"/>
        </w:rPr>
        <w:t xml:space="preserve"> статьёй 32, 33</w:t>
      </w:r>
      <w:r w:rsidR="00E80A55">
        <w:rPr>
          <w:bCs/>
          <w:color w:val="000000"/>
          <w:sz w:val="28"/>
          <w:szCs w:val="28"/>
        </w:rPr>
        <w:t xml:space="preserve"> </w:t>
      </w:r>
      <w:r w:rsidRPr="004F75F9">
        <w:rPr>
          <w:bCs/>
          <w:color w:val="000000"/>
          <w:sz w:val="28"/>
          <w:szCs w:val="28"/>
        </w:rPr>
        <w:t xml:space="preserve">Градостроительного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на основании </w:t>
      </w:r>
      <w:r w:rsidRPr="004F75F9">
        <w:rPr>
          <w:rFonts w:eastAsia="Calibri"/>
          <w:sz w:val="28"/>
          <w:szCs w:val="28"/>
        </w:rPr>
        <w:t>заключени</w:t>
      </w:r>
      <w:r w:rsidRPr="004F75F9">
        <w:rPr>
          <w:sz w:val="28"/>
          <w:szCs w:val="28"/>
        </w:rPr>
        <w:t>я</w:t>
      </w:r>
      <w:r w:rsidRPr="004F75F9">
        <w:rPr>
          <w:rFonts w:eastAsia="Calibri"/>
          <w:sz w:val="28"/>
          <w:szCs w:val="28"/>
        </w:rPr>
        <w:t xml:space="preserve"> о результатах публичных слушаний от </w:t>
      </w:r>
      <w:r w:rsidRPr="004F75F9">
        <w:rPr>
          <w:sz w:val="28"/>
          <w:szCs w:val="28"/>
        </w:rPr>
        <w:t>22.10</w:t>
      </w:r>
      <w:r w:rsidRPr="004F75F9">
        <w:rPr>
          <w:rFonts w:eastAsia="Calibri"/>
          <w:sz w:val="28"/>
          <w:szCs w:val="28"/>
        </w:rPr>
        <w:t xml:space="preserve">.2024г., руководствуясь </w:t>
      </w:r>
      <w:r w:rsidRPr="004F75F9">
        <w:rPr>
          <w:bCs/>
          <w:color w:val="000000"/>
          <w:sz w:val="28"/>
          <w:szCs w:val="28"/>
        </w:rPr>
        <w:t>Уставом муниципального образования г. Красноармейск, Сов</w:t>
      </w:r>
      <w:r w:rsidR="007957CF">
        <w:rPr>
          <w:bCs/>
          <w:color w:val="000000"/>
          <w:sz w:val="28"/>
          <w:szCs w:val="28"/>
        </w:rPr>
        <w:t>ет муниципального образования город</w:t>
      </w:r>
      <w:r w:rsidRPr="004F75F9">
        <w:rPr>
          <w:bCs/>
          <w:color w:val="000000"/>
          <w:sz w:val="28"/>
          <w:szCs w:val="28"/>
        </w:rPr>
        <w:t xml:space="preserve"> Красноармейск </w:t>
      </w:r>
      <w:r w:rsidR="007957CF">
        <w:rPr>
          <w:bCs/>
          <w:color w:val="000000"/>
          <w:sz w:val="28"/>
          <w:szCs w:val="28"/>
        </w:rPr>
        <w:t xml:space="preserve">Красноармейского муниципального района Саратовской области </w:t>
      </w:r>
      <w:r w:rsidRPr="007957CF">
        <w:rPr>
          <w:b/>
          <w:bCs/>
          <w:color w:val="000000"/>
          <w:sz w:val="28"/>
          <w:szCs w:val="28"/>
        </w:rPr>
        <w:t>РЕШИЛ</w:t>
      </w:r>
      <w:r w:rsidRPr="004F75F9">
        <w:rPr>
          <w:bCs/>
          <w:color w:val="000000"/>
          <w:sz w:val="28"/>
          <w:szCs w:val="28"/>
        </w:rPr>
        <w:t>:</w:t>
      </w:r>
      <w:r w:rsidR="00E80A55">
        <w:rPr>
          <w:bCs/>
          <w:color w:val="000000"/>
          <w:sz w:val="28"/>
          <w:szCs w:val="28"/>
        </w:rPr>
        <w:t xml:space="preserve">                                             </w:t>
      </w:r>
      <w:r w:rsidRPr="004F75F9">
        <w:rPr>
          <w:sz w:val="28"/>
          <w:szCs w:val="28"/>
        </w:rPr>
        <w:t xml:space="preserve">1.Внести в Правила землепользования и застройки муниципального образования </w:t>
      </w:r>
      <w:proofErr w:type="gramStart"/>
      <w:r w:rsidRPr="004F75F9">
        <w:rPr>
          <w:sz w:val="28"/>
          <w:szCs w:val="28"/>
        </w:rPr>
        <w:t xml:space="preserve">город Красноармейск, </w:t>
      </w:r>
      <w:r w:rsidRPr="004F75F9">
        <w:rPr>
          <w:rFonts w:eastAsia="Arial Unicode MS"/>
          <w:sz w:val="28"/>
          <w:szCs w:val="28"/>
        </w:rPr>
        <w:t xml:space="preserve">утвержденные </w:t>
      </w:r>
      <w:r w:rsidRPr="004F75F9">
        <w:rPr>
          <w:sz w:val="28"/>
          <w:szCs w:val="28"/>
        </w:rPr>
        <w:t>Решением Совета муниципального образования город Красноармейск Красноармейского муниципального района Саратовской области от 23.12.2011 № 14/98 «Об утверждении Правила землепользования и застройки муниципального образования город Красноармейск Красноармейского муниципального района Саратовской области» (с изменениями от 28.05.2014г. № 9/35; 20.06.2016 № 07/33; 25.10.2023г. № 58; 20.12.2023г. № 79</w:t>
      </w:r>
      <w:r w:rsidR="00E80A55" w:rsidRPr="00E80A55">
        <w:rPr>
          <w:sz w:val="28"/>
          <w:szCs w:val="28"/>
        </w:rPr>
        <w:t>; 23.10.2024г. № 55</w:t>
      </w:r>
      <w:r w:rsidRPr="004F75F9">
        <w:rPr>
          <w:sz w:val="28"/>
          <w:szCs w:val="28"/>
        </w:rPr>
        <w:t>) следующие изменения:</w:t>
      </w:r>
      <w:proofErr w:type="gramEnd"/>
    </w:p>
    <w:p w:rsidR="00E80A55" w:rsidRPr="00E80A55" w:rsidRDefault="00E80A55" w:rsidP="00E80A55">
      <w:pPr>
        <w:pStyle w:val="6"/>
        <w:spacing w:before="0" w:line="276" w:lineRule="auto"/>
        <w:ind w:firstLine="567"/>
        <w:jc w:val="both"/>
        <w:rPr>
          <w:rFonts w:ascii="Times New Roman" w:hAnsi="Times New Roman" w:cs="Times New Roman"/>
          <w:b w:val="0"/>
          <w:i/>
          <w:iCs/>
          <w:sz w:val="28"/>
          <w:szCs w:val="28"/>
        </w:rPr>
      </w:pPr>
      <w:r w:rsidRPr="00E80A55">
        <w:rPr>
          <w:rFonts w:ascii="Times New Roman" w:hAnsi="Times New Roman" w:cs="Times New Roman"/>
          <w:b w:val="0"/>
          <w:sz w:val="28"/>
          <w:szCs w:val="28"/>
        </w:rPr>
        <w:t xml:space="preserve">- внесения изменений в ст. 39 градостроительных регламентов Правил землепользования и застройки муниципального образования город Красноармейск, изложив в новой редакции согласно приложению № 1; </w:t>
      </w:r>
    </w:p>
    <w:p w:rsidR="00E80A55" w:rsidRPr="009C43EF" w:rsidRDefault="00E80A55" w:rsidP="00E80A55">
      <w:pPr>
        <w:pStyle w:val="6"/>
        <w:spacing w:before="0" w:line="276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E80A55">
        <w:rPr>
          <w:rFonts w:ascii="Times New Roman" w:hAnsi="Times New Roman" w:cs="Times New Roman"/>
          <w:b w:val="0"/>
          <w:sz w:val="28"/>
          <w:szCs w:val="28"/>
        </w:rPr>
        <w:t>- внесения изменений в п. 1 ст. 64 градостроительных регламентов Правил землепользования и застройки муниципального образования город Красноармейск, изложив в новой редакции согласно приложению № 2.</w:t>
      </w:r>
    </w:p>
    <w:p w:rsidR="00E80A55" w:rsidRPr="00E80A55" w:rsidRDefault="00E80A55" w:rsidP="00E80A55">
      <w:pPr>
        <w:spacing w:line="276" w:lineRule="auto"/>
      </w:pPr>
    </w:p>
    <w:p w:rsidR="004F75F9" w:rsidRPr="004F75F9" w:rsidRDefault="004F75F9" w:rsidP="00E80A55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4F75F9">
        <w:rPr>
          <w:color w:val="000000"/>
          <w:sz w:val="28"/>
          <w:szCs w:val="28"/>
        </w:rPr>
        <w:lastRenderedPageBreak/>
        <w:t xml:space="preserve">2. Опубликовать настоящее решение </w:t>
      </w:r>
      <w:r w:rsidRPr="004F75F9">
        <w:rPr>
          <w:rFonts w:eastAsia="Arial Unicode MS"/>
          <w:sz w:val="28"/>
          <w:szCs w:val="28"/>
        </w:rPr>
        <w:t>путем размещения на официальном сайте администрации Красноармейского муниципального района Саратовской области в информационно телекоммуникационной сети «Интернет».</w:t>
      </w:r>
    </w:p>
    <w:p w:rsidR="004F75F9" w:rsidRPr="004F75F9" w:rsidRDefault="004F75F9" w:rsidP="00E80A55">
      <w:pPr>
        <w:spacing w:line="276" w:lineRule="auto"/>
        <w:rPr>
          <w:sz w:val="28"/>
          <w:szCs w:val="28"/>
        </w:rPr>
      </w:pPr>
    </w:p>
    <w:p w:rsidR="004F75F9" w:rsidRPr="004F75F9" w:rsidRDefault="004F75F9" w:rsidP="00E80A55">
      <w:pPr>
        <w:spacing w:line="276" w:lineRule="auto"/>
        <w:rPr>
          <w:sz w:val="28"/>
          <w:szCs w:val="28"/>
        </w:rPr>
      </w:pPr>
    </w:p>
    <w:p w:rsidR="004F75F9" w:rsidRPr="004F75F9" w:rsidRDefault="004F75F9" w:rsidP="00E80A55">
      <w:pPr>
        <w:spacing w:line="276" w:lineRule="auto"/>
        <w:rPr>
          <w:sz w:val="28"/>
          <w:szCs w:val="28"/>
        </w:rPr>
      </w:pPr>
      <w:r w:rsidRPr="004F75F9">
        <w:rPr>
          <w:sz w:val="28"/>
          <w:szCs w:val="28"/>
        </w:rPr>
        <w:t>Глава муниципального образования</w:t>
      </w:r>
    </w:p>
    <w:p w:rsidR="004F75F9" w:rsidRPr="004F75F9" w:rsidRDefault="004F75F9" w:rsidP="00E80A55">
      <w:pPr>
        <w:spacing w:line="276" w:lineRule="auto"/>
        <w:rPr>
          <w:sz w:val="28"/>
          <w:szCs w:val="28"/>
        </w:rPr>
      </w:pPr>
      <w:r w:rsidRPr="004F75F9">
        <w:rPr>
          <w:sz w:val="28"/>
          <w:szCs w:val="28"/>
        </w:rPr>
        <w:t xml:space="preserve">город Красноармейск                                                                       А.В. </w:t>
      </w:r>
      <w:proofErr w:type="spellStart"/>
      <w:r w:rsidRPr="004F75F9">
        <w:rPr>
          <w:sz w:val="28"/>
          <w:szCs w:val="28"/>
        </w:rPr>
        <w:t>Кузьменко</w:t>
      </w:r>
      <w:proofErr w:type="spellEnd"/>
    </w:p>
    <w:p w:rsidR="004F75F9" w:rsidRPr="004F75F9" w:rsidRDefault="004F75F9" w:rsidP="00E80A55">
      <w:pPr>
        <w:spacing w:line="276" w:lineRule="auto"/>
        <w:rPr>
          <w:sz w:val="28"/>
          <w:szCs w:val="28"/>
        </w:rPr>
      </w:pPr>
      <w:r w:rsidRPr="004F75F9">
        <w:rPr>
          <w:sz w:val="28"/>
          <w:szCs w:val="28"/>
        </w:rPr>
        <w:t xml:space="preserve"> </w:t>
      </w:r>
    </w:p>
    <w:p w:rsidR="004F75F9" w:rsidRPr="004F75F9" w:rsidRDefault="004F75F9" w:rsidP="00E80A55">
      <w:pPr>
        <w:spacing w:line="276" w:lineRule="auto"/>
        <w:rPr>
          <w:sz w:val="28"/>
          <w:szCs w:val="28"/>
        </w:rPr>
      </w:pPr>
      <w:r w:rsidRPr="004F75F9">
        <w:rPr>
          <w:sz w:val="28"/>
          <w:szCs w:val="28"/>
        </w:rPr>
        <w:t xml:space="preserve">Секретарь Совета                                                                            А.В. </w:t>
      </w:r>
      <w:proofErr w:type="spellStart"/>
      <w:r w:rsidRPr="004F75F9">
        <w:rPr>
          <w:sz w:val="28"/>
          <w:szCs w:val="28"/>
        </w:rPr>
        <w:t>Куклев</w:t>
      </w:r>
      <w:proofErr w:type="spellEnd"/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8D0F7E" w:rsidRDefault="008D0F7E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8D0F7E" w:rsidRDefault="008D0F7E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8D0F7E" w:rsidRDefault="008D0F7E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8D0F7E" w:rsidRDefault="008D0F7E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8D0F7E" w:rsidRDefault="008D0F7E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8D0F7E" w:rsidRDefault="008D0F7E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8D0F7E" w:rsidRDefault="008D0F7E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8D0F7E" w:rsidRDefault="008D0F7E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8D0F7E" w:rsidRDefault="008D0F7E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8D0F7E" w:rsidRDefault="008D0F7E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4F75F9" w:rsidRDefault="004F75F9" w:rsidP="004F75F9">
      <w:pPr>
        <w:spacing w:line="276" w:lineRule="auto"/>
        <w:jc w:val="center"/>
        <w:rPr>
          <w:rFonts w:eastAsia="Arial Unicode MS"/>
          <w:sz w:val="28"/>
          <w:szCs w:val="28"/>
        </w:rPr>
      </w:pPr>
    </w:p>
    <w:p w:rsidR="007957CF" w:rsidRDefault="007957CF" w:rsidP="004F75F9">
      <w:pPr>
        <w:jc w:val="right"/>
        <w:rPr>
          <w:sz w:val="18"/>
          <w:szCs w:val="18"/>
        </w:rPr>
      </w:pPr>
    </w:p>
    <w:p w:rsidR="004F75F9" w:rsidRPr="008D0F7E" w:rsidRDefault="004F75F9" w:rsidP="004F75F9">
      <w:pPr>
        <w:jc w:val="right"/>
        <w:rPr>
          <w:sz w:val="20"/>
          <w:szCs w:val="20"/>
        </w:rPr>
      </w:pPr>
      <w:r w:rsidRPr="008D0F7E">
        <w:rPr>
          <w:sz w:val="20"/>
          <w:szCs w:val="20"/>
        </w:rPr>
        <w:lastRenderedPageBreak/>
        <w:t>Приложение № 1</w:t>
      </w:r>
    </w:p>
    <w:p w:rsidR="004F75F9" w:rsidRPr="008D0F7E" w:rsidRDefault="004F75F9" w:rsidP="004F75F9">
      <w:pPr>
        <w:jc w:val="right"/>
        <w:rPr>
          <w:sz w:val="20"/>
          <w:szCs w:val="20"/>
        </w:rPr>
      </w:pPr>
      <w:r w:rsidRPr="008D0F7E">
        <w:rPr>
          <w:sz w:val="20"/>
          <w:szCs w:val="20"/>
        </w:rPr>
        <w:t xml:space="preserve">к Решению Совета муниципального </w:t>
      </w:r>
    </w:p>
    <w:p w:rsidR="004F75F9" w:rsidRPr="008D0F7E" w:rsidRDefault="004F75F9" w:rsidP="004F75F9">
      <w:pPr>
        <w:jc w:val="right"/>
        <w:rPr>
          <w:sz w:val="20"/>
          <w:szCs w:val="20"/>
        </w:rPr>
      </w:pPr>
      <w:r w:rsidRPr="008D0F7E">
        <w:rPr>
          <w:sz w:val="20"/>
          <w:szCs w:val="20"/>
        </w:rPr>
        <w:t>образования город Красноармейск</w:t>
      </w:r>
    </w:p>
    <w:p w:rsidR="004F75F9" w:rsidRPr="008D0F7E" w:rsidRDefault="004F75F9" w:rsidP="004F75F9">
      <w:pPr>
        <w:jc w:val="right"/>
        <w:rPr>
          <w:sz w:val="20"/>
          <w:szCs w:val="20"/>
        </w:rPr>
      </w:pPr>
      <w:r w:rsidRPr="008D0F7E">
        <w:rPr>
          <w:sz w:val="20"/>
          <w:szCs w:val="20"/>
        </w:rPr>
        <w:t>Красноармейского муниципального района</w:t>
      </w:r>
    </w:p>
    <w:p w:rsidR="004F75F9" w:rsidRPr="008D0F7E" w:rsidRDefault="004F75F9" w:rsidP="004F75F9">
      <w:pPr>
        <w:jc w:val="right"/>
        <w:rPr>
          <w:sz w:val="20"/>
          <w:szCs w:val="20"/>
        </w:rPr>
      </w:pPr>
      <w:r w:rsidRPr="008D0F7E">
        <w:rPr>
          <w:sz w:val="20"/>
          <w:szCs w:val="20"/>
        </w:rPr>
        <w:t>Саратовской области</w:t>
      </w:r>
    </w:p>
    <w:p w:rsidR="004F75F9" w:rsidRPr="008D0F7E" w:rsidRDefault="008D0F7E" w:rsidP="004F75F9">
      <w:pPr>
        <w:jc w:val="right"/>
        <w:rPr>
          <w:sz w:val="20"/>
          <w:szCs w:val="20"/>
        </w:rPr>
      </w:pPr>
      <w:r w:rsidRPr="008D0F7E">
        <w:rPr>
          <w:sz w:val="20"/>
          <w:szCs w:val="20"/>
        </w:rPr>
        <w:t>от 27.11</w:t>
      </w:r>
      <w:r w:rsidR="004F75F9" w:rsidRPr="008D0F7E">
        <w:rPr>
          <w:sz w:val="20"/>
          <w:szCs w:val="20"/>
        </w:rPr>
        <w:t>.2024</w:t>
      </w:r>
      <w:r w:rsidRPr="008D0F7E">
        <w:rPr>
          <w:sz w:val="20"/>
          <w:szCs w:val="20"/>
        </w:rPr>
        <w:t>г. № 68</w:t>
      </w:r>
    </w:p>
    <w:p w:rsidR="008D0F7E" w:rsidRDefault="008D0F7E" w:rsidP="004F75F9">
      <w:pPr>
        <w:jc w:val="right"/>
        <w:rPr>
          <w:sz w:val="18"/>
          <w:szCs w:val="18"/>
        </w:rPr>
      </w:pPr>
    </w:p>
    <w:p w:rsidR="008D0F7E" w:rsidRPr="000A4BE6" w:rsidRDefault="008D0F7E" w:rsidP="004F75F9">
      <w:pPr>
        <w:jc w:val="right"/>
        <w:rPr>
          <w:sz w:val="18"/>
          <w:szCs w:val="18"/>
        </w:rPr>
      </w:pPr>
    </w:p>
    <w:p w:rsidR="008D0F7E" w:rsidRPr="009C43EF" w:rsidRDefault="008D0F7E" w:rsidP="008D0F7E">
      <w:pPr>
        <w:jc w:val="both"/>
        <w:rPr>
          <w:b/>
          <w:bCs/>
          <w:sz w:val="28"/>
          <w:szCs w:val="28"/>
        </w:rPr>
      </w:pPr>
      <w:r w:rsidRPr="009C43EF">
        <w:rPr>
          <w:b/>
          <w:bCs/>
          <w:sz w:val="28"/>
          <w:szCs w:val="28"/>
        </w:rPr>
        <w:t>Статья 39. Требования к внешнему облику городского поселения и улучшению его эстетического уровня</w:t>
      </w:r>
    </w:p>
    <w:p w:rsidR="008D0F7E" w:rsidRPr="009C43EF" w:rsidRDefault="008D0F7E" w:rsidP="008D0F7E">
      <w:pPr>
        <w:numPr>
          <w:ilvl w:val="2"/>
          <w:numId w:val="6"/>
        </w:numPr>
        <w:ind w:left="0" w:firstLine="66"/>
        <w:jc w:val="both"/>
        <w:rPr>
          <w:sz w:val="28"/>
          <w:szCs w:val="28"/>
        </w:rPr>
      </w:pPr>
      <w:r w:rsidRPr="009C43EF">
        <w:rPr>
          <w:sz w:val="28"/>
          <w:szCs w:val="28"/>
        </w:rPr>
        <w:t>В целях формирования эстетически полноценной среды поселения необходимо осуществлять мероприятия средствами художественного проектирования, декоративно-прикладного искусства и ландшафтного дизайна.</w:t>
      </w:r>
    </w:p>
    <w:p w:rsidR="008D0F7E" w:rsidRPr="009C43EF" w:rsidRDefault="008D0F7E" w:rsidP="008D0F7E">
      <w:pPr>
        <w:numPr>
          <w:ilvl w:val="2"/>
          <w:numId w:val="6"/>
        </w:numPr>
        <w:ind w:left="0" w:firstLine="66"/>
        <w:jc w:val="both"/>
        <w:rPr>
          <w:sz w:val="28"/>
          <w:szCs w:val="28"/>
        </w:rPr>
      </w:pPr>
      <w:r w:rsidRPr="009C43EF">
        <w:rPr>
          <w:sz w:val="28"/>
          <w:szCs w:val="28"/>
        </w:rPr>
        <w:t>Формирование внешнего облика поселения путем улучшения его эстетических качеств необходимо осуществлять путем разработки и реализации комплексных проектов архитектурно-художественного оформления и благоустройства, в частности:</w:t>
      </w:r>
    </w:p>
    <w:p w:rsidR="008D0F7E" w:rsidRPr="009C43EF" w:rsidRDefault="008D0F7E" w:rsidP="008D0F7E">
      <w:pPr>
        <w:numPr>
          <w:ilvl w:val="0"/>
          <w:numId w:val="5"/>
        </w:numPr>
        <w:ind w:left="426"/>
        <w:jc w:val="both"/>
        <w:rPr>
          <w:sz w:val="28"/>
          <w:szCs w:val="28"/>
        </w:rPr>
      </w:pPr>
      <w:r w:rsidRPr="009C43EF">
        <w:rPr>
          <w:sz w:val="28"/>
          <w:szCs w:val="28"/>
        </w:rPr>
        <w:t>комплексное проектирование открытых пространств (пешеходных зон, зон отдыха, детских площадок, ярмарок);</w:t>
      </w:r>
    </w:p>
    <w:p w:rsidR="008D0F7E" w:rsidRPr="009C43EF" w:rsidRDefault="008D0F7E" w:rsidP="008D0F7E">
      <w:pPr>
        <w:numPr>
          <w:ilvl w:val="0"/>
          <w:numId w:val="5"/>
        </w:numPr>
        <w:ind w:left="426"/>
        <w:jc w:val="both"/>
        <w:rPr>
          <w:sz w:val="28"/>
          <w:szCs w:val="28"/>
        </w:rPr>
      </w:pPr>
      <w:r w:rsidRPr="009C43EF">
        <w:rPr>
          <w:sz w:val="28"/>
          <w:szCs w:val="28"/>
        </w:rPr>
        <w:t>комплексное решение улиц и проездов;</w:t>
      </w:r>
    </w:p>
    <w:p w:rsidR="008D0F7E" w:rsidRPr="009C43EF" w:rsidRDefault="008D0F7E" w:rsidP="008D0F7E">
      <w:pPr>
        <w:numPr>
          <w:ilvl w:val="0"/>
          <w:numId w:val="5"/>
        </w:numPr>
        <w:ind w:left="426"/>
        <w:jc w:val="both"/>
        <w:rPr>
          <w:sz w:val="28"/>
          <w:szCs w:val="28"/>
        </w:rPr>
      </w:pPr>
      <w:r w:rsidRPr="009C43EF">
        <w:rPr>
          <w:sz w:val="28"/>
          <w:szCs w:val="28"/>
        </w:rPr>
        <w:t>архитектурно-художественное освещение зданий и сооружений;</w:t>
      </w:r>
    </w:p>
    <w:p w:rsidR="008D0F7E" w:rsidRPr="009C43EF" w:rsidRDefault="008D0F7E" w:rsidP="008D0F7E">
      <w:pPr>
        <w:numPr>
          <w:ilvl w:val="0"/>
          <w:numId w:val="5"/>
        </w:numPr>
        <w:ind w:left="426"/>
        <w:jc w:val="both"/>
        <w:rPr>
          <w:sz w:val="28"/>
          <w:szCs w:val="28"/>
        </w:rPr>
      </w:pPr>
      <w:r w:rsidRPr="009C43EF">
        <w:rPr>
          <w:sz w:val="28"/>
          <w:szCs w:val="28"/>
        </w:rPr>
        <w:t>надстройка и реконструкция фасадов зданий;</w:t>
      </w:r>
    </w:p>
    <w:p w:rsidR="008D0F7E" w:rsidRPr="009C43EF" w:rsidRDefault="008D0F7E" w:rsidP="008D0F7E">
      <w:pPr>
        <w:numPr>
          <w:ilvl w:val="0"/>
          <w:numId w:val="5"/>
        </w:numPr>
        <w:ind w:left="426"/>
        <w:jc w:val="both"/>
        <w:rPr>
          <w:sz w:val="28"/>
          <w:szCs w:val="28"/>
        </w:rPr>
      </w:pPr>
      <w:r w:rsidRPr="009C43EF">
        <w:rPr>
          <w:sz w:val="28"/>
          <w:szCs w:val="28"/>
        </w:rPr>
        <w:t>реконструкция первых этажей зданий, включая создание входов, витрин, вывесок, реклам магазинов и других учреждений обслуживания;</w:t>
      </w:r>
    </w:p>
    <w:p w:rsidR="008D0F7E" w:rsidRPr="009C43EF" w:rsidRDefault="008D0F7E" w:rsidP="008D0F7E">
      <w:pPr>
        <w:numPr>
          <w:ilvl w:val="0"/>
          <w:numId w:val="5"/>
        </w:numPr>
        <w:ind w:left="426"/>
        <w:jc w:val="both"/>
        <w:rPr>
          <w:sz w:val="28"/>
          <w:szCs w:val="28"/>
        </w:rPr>
      </w:pPr>
      <w:r w:rsidRPr="009C43EF">
        <w:rPr>
          <w:sz w:val="28"/>
          <w:szCs w:val="28"/>
        </w:rPr>
        <w:t>размещение средств наружной рекламы и информации;</w:t>
      </w:r>
    </w:p>
    <w:p w:rsidR="008D0F7E" w:rsidRPr="009C43EF" w:rsidRDefault="008D0F7E" w:rsidP="008D0F7E">
      <w:pPr>
        <w:numPr>
          <w:ilvl w:val="0"/>
          <w:numId w:val="5"/>
        </w:numPr>
        <w:ind w:left="426"/>
        <w:jc w:val="both"/>
        <w:rPr>
          <w:sz w:val="28"/>
          <w:szCs w:val="28"/>
        </w:rPr>
      </w:pPr>
      <w:r w:rsidRPr="009C43EF">
        <w:rPr>
          <w:sz w:val="28"/>
          <w:szCs w:val="28"/>
        </w:rPr>
        <w:t>размещение временных сооружений, малых торговых точек.</w:t>
      </w:r>
    </w:p>
    <w:p w:rsidR="008D0F7E" w:rsidRPr="009C43EF" w:rsidRDefault="008D0F7E" w:rsidP="008D0F7E">
      <w:pPr>
        <w:numPr>
          <w:ilvl w:val="2"/>
          <w:numId w:val="6"/>
        </w:numPr>
        <w:ind w:left="0" w:hanging="76"/>
        <w:jc w:val="both"/>
        <w:rPr>
          <w:sz w:val="28"/>
          <w:szCs w:val="28"/>
        </w:rPr>
      </w:pPr>
      <w:r w:rsidRPr="009C43EF">
        <w:rPr>
          <w:sz w:val="28"/>
          <w:szCs w:val="28"/>
        </w:rPr>
        <w:t>Архитектурно-градостроительный облик объекта капитального строительства подлежит согласованию с Администрацией Красноармейского муниципального района при осуществлении строительства, реконструкции объекта капитального строительства в границах территорий, предусмотренных частью 5.3 статьи 30 Градостроительного Кодекса РФ, за исключением тех объектов в отношении, которых согласование не требуется:</w:t>
      </w:r>
    </w:p>
    <w:p w:rsidR="008D0F7E" w:rsidRPr="009C43EF" w:rsidRDefault="008D0F7E" w:rsidP="008D0F7E">
      <w:pPr>
        <w:jc w:val="both"/>
        <w:rPr>
          <w:sz w:val="28"/>
          <w:szCs w:val="28"/>
        </w:rPr>
      </w:pPr>
      <w:r w:rsidRPr="009C43EF">
        <w:rPr>
          <w:sz w:val="28"/>
          <w:szCs w:val="28"/>
        </w:rPr>
        <w:t>1) объектов капитального строительства, расположенных на земельных участках, действие градостроительного регламента на которые не распространяется;</w:t>
      </w:r>
    </w:p>
    <w:p w:rsidR="008D0F7E" w:rsidRPr="009C43EF" w:rsidRDefault="008D0F7E" w:rsidP="008D0F7E">
      <w:pPr>
        <w:jc w:val="both"/>
        <w:rPr>
          <w:sz w:val="28"/>
          <w:szCs w:val="28"/>
        </w:rPr>
      </w:pPr>
      <w:r w:rsidRPr="009C43EF">
        <w:rPr>
          <w:sz w:val="28"/>
          <w:szCs w:val="28"/>
        </w:rPr>
        <w:t>2) объектов, для строительства или реконструкции которых не требуется получение разрешения на строительство;</w:t>
      </w:r>
    </w:p>
    <w:p w:rsidR="008D0F7E" w:rsidRPr="009C43EF" w:rsidRDefault="008D0F7E" w:rsidP="008D0F7E">
      <w:pPr>
        <w:jc w:val="both"/>
        <w:rPr>
          <w:sz w:val="28"/>
          <w:szCs w:val="28"/>
        </w:rPr>
      </w:pPr>
      <w:r w:rsidRPr="009C43EF">
        <w:rPr>
          <w:sz w:val="28"/>
          <w:szCs w:val="28"/>
        </w:rPr>
        <w:t>3) объектов, расположенных на земельных участках, находящихся в пользовании учреждений, исполняющих наказание;</w:t>
      </w:r>
    </w:p>
    <w:p w:rsidR="008D0F7E" w:rsidRPr="009C43EF" w:rsidRDefault="008D0F7E" w:rsidP="008D0F7E">
      <w:pPr>
        <w:jc w:val="both"/>
        <w:rPr>
          <w:sz w:val="28"/>
          <w:szCs w:val="28"/>
        </w:rPr>
      </w:pPr>
      <w:r w:rsidRPr="009C43EF">
        <w:rPr>
          <w:sz w:val="28"/>
          <w:szCs w:val="28"/>
        </w:rPr>
        <w:t>4) объектов обороны и безопасности, объектов Вооруженных Сил Российской Федерации, других войск, воинских формирований и органов, осуществляющих функции в области обороны страны и безопасности государства;</w:t>
      </w:r>
    </w:p>
    <w:p w:rsidR="008D0F7E" w:rsidRPr="009C43EF" w:rsidRDefault="008D0F7E" w:rsidP="008D0F7E">
      <w:pPr>
        <w:jc w:val="both"/>
        <w:rPr>
          <w:sz w:val="28"/>
          <w:szCs w:val="28"/>
        </w:rPr>
      </w:pPr>
      <w:r w:rsidRPr="009C43EF">
        <w:rPr>
          <w:sz w:val="28"/>
          <w:szCs w:val="28"/>
        </w:rPr>
        <w:t>5) иных объектов, определенных Правительством Российской Федерации, нормативными правовыми актами органов государственной власти субъектов Российской Федерации.</w:t>
      </w:r>
    </w:p>
    <w:p w:rsidR="008D0F7E" w:rsidRPr="009C43EF" w:rsidRDefault="008D0F7E" w:rsidP="008D0F7E">
      <w:pPr>
        <w:jc w:val="both"/>
        <w:rPr>
          <w:sz w:val="28"/>
          <w:szCs w:val="28"/>
        </w:rPr>
      </w:pPr>
      <w:r w:rsidRPr="009C43EF">
        <w:rPr>
          <w:sz w:val="28"/>
          <w:szCs w:val="28"/>
        </w:rPr>
        <w:t xml:space="preserve">4. Основанием для отказа в согласовании архитектурно-градостроительного облика объекта капитального строительства является несоответствие </w:t>
      </w:r>
      <w:proofErr w:type="gramStart"/>
      <w:r w:rsidRPr="009C43EF">
        <w:rPr>
          <w:sz w:val="28"/>
          <w:szCs w:val="28"/>
        </w:rPr>
        <w:t>архитектурных решений</w:t>
      </w:r>
      <w:proofErr w:type="gramEnd"/>
      <w:r w:rsidRPr="009C43EF">
        <w:rPr>
          <w:sz w:val="28"/>
          <w:szCs w:val="28"/>
        </w:rPr>
        <w:t xml:space="preserve"> объекта капитального строительства, определяющих его архитектурно-градостроительный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строительства, требованиям к </w:t>
      </w:r>
      <w:r w:rsidRPr="009C43EF">
        <w:rPr>
          <w:sz w:val="28"/>
          <w:szCs w:val="28"/>
        </w:rPr>
        <w:lastRenderedPageBreak/>
        <w:t>архитектурно-градостроительному облику объекта капитального строительства, указанным в градостроительном регламенте.</w:t>
      </w:r>
    </w:p>
    <w:p w:rsidR="008D0F7E" w:rsidRPr="009C43EF" w:rsidRDefault="008D0F7E" w:rsidP="008D0F7E">
      <w:pPr>
        <w:jc w:val="both"/>
        <w:rPr>
          <w:sz w:val="28"/>
          <w:szCs w:val="28"/>
        </w:rPr>
      </w:pPr>
      <w:proofErr w:type="gramStart"/>
      <w:r w:rsidRPr="009C43EF">
        <w:rPr>
          <w:sz w:val="28"/>
          <w:szCs w:val="28"/>
        </w:rPr>
        <w:t>5.Все работы, влияющие на формирование внешнего облика (монументально-художественное оформление зданий, сооружений, скульптур, архитектурно-художественное освещение, размещение мемориальных досок, создание цветников, фонтанов, летних кафе, павильонов на остановках транспорта, торговых киосков и павильонов, ремонт и покраска фасадов, установка средств наружной рекламы и информации, типы устанавливаемых на улицах опор освещения, скамеек, урн и другие элементы дизайна) подлежат обязательному согласованию с Главой Красноармейского муниципального</w:t>
      </w:r>
      <w:proofErr w:type="gramEnd"/>
      <w:r w:rsidRPr="009C43EF">
        <w:rPr>
          <w:sz w:val="28"/>
          <w:szCs w:val="28"/>
        </w:rPr>
        <w:t xml:space="preserve"> района Саратовской области.</w:t>
      </w:r>
    </w:p>
    <w:p w:rsidR="008D0F7E" w:rsidRPr="009C43EF" w:rsidRDefault="008D0F7E" w:rsidP="008D0F7E">
      <w:pPr>
        <w:jc w:val="both"/>
        <w:rPr>
          <w:sz w:val="28"/>
          <w:szCs w:val="28"/>
        </w:rPr>
      </w:pPr>
      <w:r w:rsidRPr="009C43EF">
        <w:rPr>
          <w:sz w:val="28"/>
          <w:szCs w:val="28"/>
        </w:rPr>
        <w:t>6. Требования к архитектурно-градостроительному облику объектов капитального строительства:</w:t>
      </w:r>
    </w:p>
    <w:tbl>
      <w:tblPr>
        <w:tblStyle w:val="af8"/>
        <w:tblW w:w="0" w:type="auto"/>
        <w:tblLook w:val="04A0"/>
      </w:tblPr>
      <w:tblGrid>
        <w:gridCol w:w="3304"/>
        <w:gridCol w:w="3304"/>
        <w:gridCol w:w="3305"/>
      </w:tblGrid>
      <w:tr w:rsidR="008D0F7E" w:rsidRPr="009C43EF" w:rsidTr="00FB05E9">
        <w:tc>
          <w:tcPr>
            <w:tcW w:w="3304" w:type="dxa"/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9C43EF">
              <w:rPr>
                <w:rFonts w:ascii="PT Astra Serif" w:hAnsi="PT Astra Serif"/>
                <w:b/>
                <w:bCs/>
              </w:rPr>
              <w:t>Требования к архитектурно-градостроительному облику объектов капитального строительства</w:t>
            </w:r>
          </w:p>
        </w:tc>
        <w:tc>
          <w:tcPr>
            <w:tcW w:w="3304" w:type="dxa"/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9C43EF">
              <w:rPr>
                <w:rFonts w:ascii="PT Astra Serif" w:hAnsi="PT Astra Serif"/>
                <w:b/>
                <w:bCs/>
              </w:rPr>
              <w:t>Зона регулирования</w:t>
            </w:r>
          </w:p>
        </w:tc>
        <w:tc>
          <w:tcPr>
            <w:tcW w:w="3305" w:type="dxa"/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9C43EF">
              <w:rPr>
                <w:rFonts w:ascii="PT Astra Serif" w:hAnsi="PT Astra Serif"/>
                <w:b/>
                <w:bCs/>
              </w:rPr>
              <w:t>Примечание</w:t>
            </w:r>
          </w:p>
        </w:tc>
      </w:tr>
      <w:tr w:rsidR="008D0F7E" w:rsidRPr="009C43EF" w:rsidTr="00FB05E9">
        <w:tc>
          <w:tcPr>
            <w:tcW w:w="3304" w:type="dxa"/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</w:rPr>
            </w:pPr>
            <w:r w:rsidRPr="009C43EF">
              <w:rPr>
                <w:rFonts w:ascii="PT Astra Serif" w:hAnsi="PT Astra Serif"/>
              </w:rPr>
              <w:t>Требования к объемно-пространственным характеристикам объектов капитального строительства</w:t>
            </w:r>
          </w:p>
          <w:p w:rsidR="008D0F7E" w:rsidRPr="009C43EF" w:rsidRDefault="008D0F7E" w:rsidP="00FB05E9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304" w:type="dxa"/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</w:rPr>
            </w:pPr>
            <w:r w:rsidRPr="009C43EF">
              <w:rPr>
                <w:rFonts w:ascii="PT Astra Serif" w:hAnsi="PT Astra Serif"/>
              </w:rPr>
              <w:t>1.Объект капитального строительства следует размещать по сложившейся линии застройки с взаимной увязкой с существующими зданиями.</w:t>
            </w:r>
          </w:p>
          <w:p w:rsidR="008D0F7E" w:rsidRPr="009C43EF" w:rsidRDefault="008D0F7E" w:rsidP="00FB05E9">
            <w:pPr>
              <w:jc w:val="both"/>
              <w:rPr>
                <w:rFonts w:ascii="PT Astra Serif" w:hAnsi="PT Astra Serif"/>
              </w:rPr>
            </w:pPr>
            <w:r w:rsidRPr="009C43EF">
              <w:rPr>
                <w:rFonts w:ascii="PT Astra Serif" w:hAnsi="PT Astra Serif"/>
              </w:rPr>
              <w:t>2.В случае наличия документации по планировке территории объект капитального строительства следует размещать в соответствии с материалами по обоснованию данного проекта.</w:t>
            </w:r>
          </w:p>
          <w:p w:rsidR="008D0F7E" w:rsidRPr="009C43EF" w:rsidRDefault="008D0F7E" w:rsidP="00FB05E9">
            <w:pPr>
              <w:jc w:val="both"/>
              <w:rPr>
                <w:rFonts w:ascii="PT Astra Serif" w:hAnsi="PT Astra Serif"/>
              </w:rPr>
            </w:pPr>
            <w:r w:rsidRPr="009C43EF">
              <w:rPr>
                <w:rFonts w:ascii="PT Astra Serif" w:hAnsi="PT Astra Serif"/>
              </w:rPr>
              <w:t>3.Высоту фасадов объектов капитального строительства, обращенных к территориям общего пользования, не должна превышать высоту фасадов наиболее высокого из объектов капитального строительства, расположенных в границах квартала по линии застройки справа и (или) слева от объекта капитального строительства, за исключением акцентов угловых зданий.</w:t>
            </w:r>
          </w:p>
          <w:p w:rsidR="008D0F7E" w:rsidRPr="009C43EF" w:rsidRDefault="008D0F7E" w:rsidP="00FB05E9">
            <w:pPr>
              <w:jc w:val="both"/>
              <w:rPr>
                <w:rFonts w:ascii="PT Astra Serif" w:hAnsi="PT Astra Serif"/>
              </w:rPr>
            </w:pPr>
            <w:r w:rsidRPr="009C43EF">
              <w:rPr>
                <w:rFonts w:ascii="PT Astra Serif" w:hAnsi="PT Astra Serif"/>
              </w:rPr>
              <w:t xml:space="preserve">4.Отметку уровня пола входов в объекты капитального строительства на фасадах, обращенных к территориям общего пользования, следует предусматривать равной уровню земли. В случае </w:t>
            </w:r>
            <w:r w:rsidRPr="009C43EF">
              <w:rPr>
                <w:rFonts w:ascii="PT Astra Serif" w:hAnsi="PT Astra Serif"/>
              </w:rPr>
              <w:lastRenderedPageBreak/>
              <w:t>реконструкции объекта капитального строительства с уровнем пола входа выше уровня земли, предусмотреть устройство входного узла. При размещении входного узла на территории общего пользования необходимо получение согласования от органа местного самоуправления, документом-основанием для которого является проектное решение.</w:t>
            </w:r>
          </w:p>
          <w:p w:rsidR="008D0F7E" w:rsidRPr="009C43EF" w:rsidRDefault="008D0F7E" w:rsidP="00FB05E9">
            <w:pPr>
              <w:jc w:val="both"/>
              <w:rPr>
                <w:rFonts w:ascii="PT Astra Serif" w:hAnsi="PT Astra Serif"/>
              </w:rPr>
            </w:pPr>
            <w:r w:rsidRPr="009C43EF">
              <w:rPr>
                <w:rFonts w:ascii="PT Astra Serif" w:hAnsi="PT Astra Serif"/>
              </w:rPr>
              <w:t>5.Запрещается выполнять глухими фасады, обращенные к территории общего пользования.</w:t>
            </w:r>
          </w:p>
        </w:tc>
        <w:tc>
          <w:tcPr>
            <w:tcW w:w="3305" w:type="dxa"/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</w:rPr>
            </w:pPr>
            <w:r w:rsidRPr="009C43EF">
              <w:rPr>
                <w:rFonts w:ascii="PT Astra Serif" w:hAnsi="PT Astra Serif"/>
              </w:rPr>
              <w:lastRenderedPageBreak/>
              <w:t>В случае наличия требований к регламентам, установленным в рамках Федерального закона «Об объектах культурного наследия» 73-ФЗ, в части требований к объемно-пространственным характеристикам объектов капитального строительства, следует руководствоваться ими.</w:t>
            </w:r>
          </w:p>
        </w:tc>
      </w:tr>
      <w:tr w:rsidR="008D0F7E" w:rsidRPr="009C43EF" w:rsidTr="00FB05E9">
        <w:tc>
          <w:tcPr>
            <w:tcW w:w="3304" w:type="dxa"/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</w:rPr>
            </w:pPr>
            <w:r w:rsidRPr="009C43EF">
              <w:rPr>
                <w:rFonts w:ascii="PT Astra Serif" w:hAnsi="PT Astra Serif"/>
              </w:rPr>
              <w:lastRenderedPageBreak/>
              <w:t>Требования к архитектурно-стилистическим характеристикам объектов капитального строительства</w:t>
            </w:r>
          </w:p>
        </w:tc>
        <w:tc>
          <w:tcPr>
            <w:tcW w:w="3304" w:type="dxa"/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</w:rPr>
            </w:pPr>
            <w:r w:rsidRPr="009C43EF">
              <w:rPr>
                <w:rFonts w:ascii="PT Astra Serif" w:hAnsi="PT Astra Serif"/>
              </w:rPr>
              <w:t>1.Следует предусматривать единое стилистическое решение по остеклению балконов и лоджий.</w:t>
            </w:r>
          </w:p>
          <w:p w:rsidR="008D0F7E" w:rsidRPr="009C43EF" w:rsidRDefault="008D0F7E" w:rsidP="00FB05E9">
            <w:pPr>
              <w:jc w:val="both"/>
              <w:rPr>
                <w:rFonts w:ascii="PT Astra Serif" w:hAnsi="PT Astra Serif"/>
              </w:rPr>
            </w:pPr>
            <w:r w:rsidRPr="009C43EF">
              <w:rPr>
                <w:rFonts w:ascii="PT Astra Serif" w:hAnsi="PT Astra Serif"/>
              </w:rPr>
              <w:t>2.Устройство выступающих входных групп на фасадах, обращенных к территориям общего пользования, не допускается.</w:t>
            </w:r>
          </w:p>
          <w:p w:rsidR="008D0F7E" w:rsidRPr="009C43EF" w:rsidRDefault="008D0F7E" w:rsidP="00FB05E9">
            <w:pPr>
              <w:jc w:val="both"/>
              <w:rPr>
                <w:rFonts w:ascii="PT Astra Serif" w:hAnsi="PT Astra Serif"/>
              </w:rPr>
            </w:pPr>
            <w:r w:rsidRPr="009C43EF">
              <w:rPr>
                <w:rFonts w:ascii="PT Astra Serif" w:hAnsi="PT Astra Serif"/>
              </w:rPr>
              <w:t>3.Габариты оконных проемов нежилых помещений первых этажей могут отличаться от окон жилых помещений вышележащих этажей, но не должно приводить к нарушению восприятия пропорций и иных визуальных характеристик объекта капитального строительства.</w:t>
            </w:r>
          </w:p>
          <w:p w:rsidR="008D0F7E" w:rsidRPr="009C43EF" w:rsidRDefault="008D0F7E" w:rsidP="00FB05E9">
            <w:pPr>
              <w:jc w:val="both"/>
              <w:rPr>
                <w:rFonts w:ascii="PT Astra Serif" w:hAnsi="PT Astra Serif"/>
              </w:rPr>
            </w:pPr>
            <w:r w:rsidRPr="009C43EF">
              <w:rPr>
                <w:rFonts w:ascii="PT Astra Serif" w:hAnsi="PT Astra Serif"/>
              </w:rPr>
              <w:t>4. При формировании архитектурно-художественного облика объекта на фасаде здания должно быть определено место для размещения вывесок.</w:t>
            </w:r>
          </w:p>
          <w:p w:rsidR="008D0F7E" w:rsidRPr="009C43EF" w:rsidRDefault="008D0F7E" w:rsidP="00FB05E9">
            <w:pPr>
              <w:jc w:val="both"/>
              <w:rPr>
                <w:rFonts w:ascii="PT Astra Serif" w:hAnsi="PT Astra Serif"/>
              </w:rPr>
            </w:pPr>
            <w:r w:rsidRPr="009C43EF">
              <w:rPr>
                <w:rFonts w:ascii="PT Astra Serif" w:hAnsi="PT Astra Serif"/>
              </w:rPr>
              <w:t>5.Архитектурно-стилистические характеристики объекта должны соответствовать характеристикам зданий, расположенных в границах квартала по линии застройки справа и (или) слева от объекта капитального строительства.</w:t>
            </w:r>
          </w:p>
        </w:tc>
        <w:tc>
          <w:tcPr>
            <w:tcW w:w="3305" w:type="dxa"/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</w:rPr>
            </w:pPr>
            <w:r w:rsidRPr="009C43EF">
              <w:rPr>
                <w:rFonts w:ascii="PT Astra Serif" w:hAnsi="PT Astra Serif"/>
              </w:rPr>
              <w:t>В случае наличия требований к регламентам, установленным в рамках Федерального закона «Об объектах культурного наследия» 73-ФЗ, в части требований к объемно-пространственным характеристикам объектов капитального строительства, следует руководствоваться ими</w:t>
            </w:r>
          </w:p>
        </w:tc>
      </w:tr>
      <w:tr w:rsidR="008D0F7E" w:rsidRPr="009C43EF" w:rsidTr="00FB05E9">
        <w:tc>
          <w:tcPr>
            <w:tcW w:w="3304" w:type="dxa"/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</w:rPr>
            </w:pPr>
            <w:r w:rsidRPr="009C43EF">
              <w:rPr>
                <w:rFonts w:ascii="PT Astra Serif" w:hAnsi="PT Astra Serif"/>
              </w:rPr>
              <w:t xml:space="preserve">Требования к цветовому решению фасада объекта </w:t>
            </w:r>
            <w:r w:rsidRPr="009C43EF">
              <w:rPr>
                <w:rFonts w:ascii="PT Astra Serif" w:hAnsi="PT Astra Serif"/>
              </w:rPr>
              <w:lastRenderedPageBreak/>
              <w:t>капитального строительства</w:t>
            </w:r>
          </w:p>
        </w:tc>
        <w:tc>
          <w:tcPr>
            <w:tcW w:w="3304" w:type="dxa"/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</w:rPr>
            </w:pPr>
            <w:r w:rsidRPr="009C43EF">
              <w:rPr>
                <w:rFonts w:ascii="PT Astra Serif" w:hAnsi="PT Astra Serif"/>
              </w:rPr>
              <w:lastRenderedPageBreak/>
              <w:t xml:space="preserve">1.Фасады объектов капитального строительства </w:t>
            </w:r>
            <w:r w:rsidRPr="009C43EF">
              <w:rPr>
                <w:rFonts w:ascii="PT Astra Serif" w:hAnsi="PT Astra Serif"/>
              </w:rPr>
              <w:lastRenderedPageBreak/>
              <w:t>должны смотреться гармонично по отношению к сложившейся застройке.</w:t>
            </w:r>
          </w:p>
          <w:p w:rsidR="008D0F7E" w:rsidRPr="009C43EF" w:rsidRDefault="008D0F7E" w:rsidP="00FB05E9">
            <w:pPr>
              <w:jc w:val="both"/>
              <w:rPr>
                <w:rFonts w:ascii="PT Astra Serif" w:hAnsi="PT Astra Serif"/>
              </w:rPr>
            </w:pPr>
            <w:r w:rsidRPr="009C43EF">
              <w:rPr>
                <w:rFonts w:ascii="PT Astra Serif" w:hAnsi="PT Astra Serif"/>
              </w:rPr>
              <w:t>2.Использовать в отделке фасада не более пяти цветов:</w:t>
            </w:r>
          </w:p>
          <w:p w:rsidR="008D0F7E" w:rsidRPr="009C43EF" w:rsidRDefault="008D0F7E" w:rsidP="00FB05E9">
            <w:pPr>
              <w:jc w:val="both"/>
              <w:rPr>
                <w:rFonts w:ascii="PT Astra Serif" w:hAnsi="PT Astra Serif"/>
              </w:rPr>
            </w:pPr>
            <w:r w:rsidRPr="009C43EF">
              <w:rPr>
                <w:rFonts w:ascii="PT Astra Serif" w:hAnsi="PT Astra Serif"/>
              </w:rPr>
              <w:t>- один цвет основной (доминирующий);</w:t>
            </w:r>
          </w:p>
          <w:p w:rsidR="008D0F7E" w:rsidRPr="009C43EF" w:rsidRDefault="008D0F7E" w:rsidP="00FB05E9">
            <w:pPr>
              <w:jc w:val="both"/>
              <w:rPr>
                <w:rFonts w:ascii="PT Astra Serif" w:hAnsi="PT Astra Serif"/>
              </w:rPr>
            </w:pPr>
            <w:r w:rsidRPr="009C43EF">
              <w:rPr>
                <w:rFonts w:ascii="PT Astra Serif" w:hAnsi="PT Astra Serif"/>
              </w:rPr>
              <w:t xml:space="preserve">- не более двух вспомогательных цветов. </w:t>
            </w:r>
          </w:p>
        </w:tc>
        <w:tc>
          <w:tcPr>
            <w:tcW w:w="3305" w:type="dxa"/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</w:rPr>
            </w:pPr>
            <w:r w:rsidRPr="009C43EF">
              <w:rPr>
                <w:rFonts w:ascii="PT Astra Serif" w:hAnsi="PT Astra Serif"/>
              </w:rPr>
              <w:lastRenderedPageBreak/>
              <w:t xml:space="preserve">В случае наличия требований к регламентам, </w:t>
            </w:r>
            <w:r w:rsidRPr="009C43EF">
              <w:rPr>
                <w:rFonts w:ascii="PT Astra Serif" w:hAnsi="PT Astra Serif"/>
              </w:rPr>
              <w:lastRenderedPageBreak/>
              <w:t>установленным в рамках Федерального закона «Об объектах культурного наследия» 73-ФЗ, в части требований к объемно-пространственным характеристикам объектов капитального строительства, следует руководствоваться ими</w:t>
            </w:r>
          </w:p>
        </w:tc>
      </w:tr>
      <w:tr w:rsidR="008D0F7E" w:rsidRPr="009C43EF" w:rsidTr="00FB05E9">
        <w:tc>
          <w:tcPr>
            <w:tcW w:w="3304" w:type="dxa"/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</w:rPr>
            </w:pPr>
            <w:r w:rsidRPr="009C43EF">
              <w:rPr>
                <w:rFonts w:ascii="PT Astra Serif" w:hAnsi="PT Astra Serif"/>
              </w:rPr>
              <w:lastRenderedPageBreak/>
              <w:t>Требования к отделочным и (или</w:t>
            </w:r>
            <w:proofErr w:type="gramStart"/>
            <w:r w:rsidRPr="009C43EF">
              <w:rPr>
                <w:rFonts w:ascii="PT Astra Serif" w:hAnsi="PT Astra Serif"/>
              </w:rPr>
              <w:t>)с</w:t>
            </w:r>
            <w:proofErr w:type="gramEnd"/>
            <w:r w:rsidRPr="009C43EF">
              <w:rPr>
                <w:rFonts w:ascii="PT Astra Serif" w:hAnsi="PT Astra Serif"/>
              </w:rPr>
              <w:t>троительным материалам, определяющие архитектурный облик объектов капитального строительства</w:t>
            </w:r>
          </w:p>
        </w:tc>
        <w:tc>
          <w:tcPr>
            <w:tcW w:w="3304" w:type="dxa"/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</w:rPr>
            </w:pPr>
            <w:r w:rsidRPr="009C43EF">
              <w:rPr>
                <w:rFonts w:ascii="PT Astra Serif" w:hAnsi="PT Astra Serif"/>
              </w:rPr>
              <w:t>1.Фасады объектов капитального строительства выполняются с применением натурального камня, штукатурки, облицовочного кирпича, облицовочных фасадных плит, стекла, керамики.</w:t>
            </w:r>
          </w:p>
          <w:p w:rsidR="008D0F7E" w:rsidRPr="009C43EF" w:rsidRDefault="008D0F7E" w:rsidP="00FB05E9">
            <w:pPr>
              <w:jc w:val="both"/>
              <w:rPr>
                <w:rFonts w:ascii="PT Astra Serif" w:hAnsi="PT Astra Serif"/>
              </w:rPr>
            </w:pPr>
            <w:r w:rsidRPr="009C43EF">
              <w:rPr>
                <w:rFonts w:ascii="PT Astra Serif" w:hAnsi="PT Astra Serif"/>
              </w:rPr>
              <w:t xml:space="preserve">2.Не допускается использование при отделке фасадов любого вида </w:t>
            </w:r>
            <w:proofErr w:type="spellStart"/>
            <w:r w:rsidRPr="009C43EF">
              <w:rPr>
                <w:rFonts w:ascii="PT Astra Serif" w:hAnsi="PT Astra Serif"/>
              </w:rPr>
              <w:t>сайдинга</w:t>
            </w:r>
            <w:proofErr w:type="spellEnd"/>
            <w:r w:rsidRPr="009C43EF">
              <w:rPr>
                <w:rFonts w:ascii="PT Astra Serif" w:hAnsi="PT Astra Serif"/>
              </w:rPr>
              <w:t xml:space="preserve"> (металлических или пластиковых панелей, имитирующих натуральную обшивку), профилированного металлического листа, асбестоцементных листов </w:t>
            </w:r>
            <w:proofErr w:type="spellStart"/>
            <w:r w:rsidRPr="009C43EF">
              <w:rPr>
                <w:rFonts w:ascii="PT Astra Serif" w:hAnsi="PT Astra Serif"/>
              </w:rPr>
              <w:t>профнастила</w:t>
            </w:r>
            <w:proofErr w:type="spellEnd"/>
            <w:r w:rsidRPr="009C43EF">
              <w:rPr>
                <w:rFonts w:ascii="PT Astra Serif" w:hAnsi="PT Astra Serif"/>
              </w:rPr>
              <w:t xml:space="preserve"> (за исключением объектов капитального строительства, расположенных на территориях промышленных предприятий).</w:t>
            </w:r>
          </w:p>
          <w:p w:rsidR="008D0F7E" w:rsidRPr="009C43EF" w:rsidRDefault="008D0F7E" w:rsidP="00FB05E9">
            <w:pPr>
              <w:jc w:val="both"/>
              <w:rPr>
                <w:rFonts w:ascii="PT Astra Serif" w:hAnsi="PT Astra Serif"/>
              </w:rPr>
            </w:pPr>
            <w:r w:rsidRPr="009C43EF">
              <w:rPr>
                <w:rFonts w:ascii="PT Astra Serif" w:hAnsi="PT Astra Serif"/>
              </w:rPr>
              <w:t xml:space="preserve">3.При отделке фасадов крепление плит, </w:t>
            </w:r>
            <w:proofErr w:type="spellStart"/>
            <w:r w:rsidRPr="009C43EF">
              <w:rPr>
                <w:rFonts w:ascii="PT Astra Serif" w:hAnsi="PT Astra Serif"/>
              </w:rPr>
              <w:t>плитных</w:t>
            </w:r>
            <w:proofErr w:type="spellEnd"/>
            <w:r w:rsidRPr="009C43EF">
              <w:rPr>
                <w:rFonts w:ascii="PT Astra Serif" w:hAnsi="PT Astra Serif"/>
              </w:rPr>
              <w:t xml:space="preserve"> материалов, панелей должно осуществляться методом скрытого монтажа.</w:t>
            </w:r>
          </w:p>
        </w:tc>
        <w:tc>
          <w:tcPr>
            <w:tcW w:w="3305" w:type="dxa"/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</w:rPr>
            </w:pPr>
            <w:r w:rsidRPr="009C43EF">
              <w:rPr>
                <w:rFonts w:ascii="PT Astra Serif" w:hAnsi="PT Astra Serif"/>
              </w:rPr>
              <w:t>В случае наличия требований к регламентам, установленным в рамках Федерального закона «Об объектах культурного наследия» 73-ФЗ, в части требований к объемно-пространственным характеристикам объектов капитального строительства, следует руководствоваться ими.</w:t>
            </w:r>
          </w:p>
        </w:tc>
      </w:tr>
      <w:tr w:rsidR="008D0F7E" w:rsidRPr="009C43EF" w:rsidTr="00FB05E9">
        <w:tc>
          <w:tcPr>
            <w:tcW w:w="3304" w:type="dxa"/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</w:rPr>
            </w:pPr>
            <w:r w:rsidRPr="009C43EF">
              <w:rPr>
                <w:rFonts w:ascii="PT Astra Serif" w:hAnsi="PT Astra Serif"/>
              </w:rPr>
              <w:t>Требования к размещению технического и инженерного оборудования на фасадах и кровлях объектов капитального строительства</w:t>
            </w:r>
          </w:p>
        </w:tc>
        <w:tc>
          <w:tcPr>
            <w:tcW w:w="3304" w:type="dxa"/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</w:rPr>
            </w:pPr>
            <w:proofErr w:type="gramStart"/>
            <w:r w:rsidRPr="009C43EF">
              <w:rPr>
                <w:rFonts w:ascii="PT Astra Serif" w:hAnsi="PT Astra Serif"/>
              </w:rPr>
              <w:t>1.Размещение технического и инженерного оборудования (антенн, кабелей, наружных блоков вентиляции и кондиционирования, вентиляционных труб и др.) на видовых (главных) фасадах зданий, обращенных к территориям общего пользования, включая силуэтные завершения объектов капитального строительства (башни, купола), парапеты, ограждения кровли, ограждения балконов, лоджий и т.д. не допускается.</w:t>
            </w:r>
            <w:proofErr w:type="gramEnd"/>
          </w:p>
          <w:p w:rsidR="008D0F7E" w:rsidRPr="009C43EF" w:rsidRDefault="008D0F7E" w:rsidP="00FB05E9">
            <w:pPr>
              <w:jc w:val="both"/>
              <w:rPr>
                <w:rFonts w:ascii="PT Astra Serif" w:hAnsi="PT Astra Serif"/>
              </w:rPr>
            </w:pPr>
            <w:proofErr w:type="gramStart"/>
            <w:r w:rsidRPr="009C43EF">
              <w:rPr>
                <w:rFonts w:ascii="PT Astra Serif" w:hAnsi="PT Astra Serif"/>
              </w:rPr>
              <w:t xml:space="preserve">2.Размещение технического и инженерного оборудования </w:t>
            </w:r>
            <w:r w:rsidRPr="009C43EF">
              <w:rPr>
                <w:rFonts w:ascii="PT Astra Serif" w:hAnsi="PT Astra Serif"/>
              </w:rPr>
              <w:lastRenderedPageBreak/>
              <w:t>(антенн, кабелей, наружных блоков вентиляции и кондиционирования, вентиляционных труб и др. на торцевых и дворовых фасадах, включая силуэтные завершения объектов капитального строительства (башни, купола), парапеты, ограждения кровли, ограждения балконов, лоджий и т.д., допускается исключительно в предусмотренных проектной документацией местах, скрытых для визуального восприятия.</w:t>
            </w:r>
            <w:proofErr w:type="gramEnd"/>
          </w:p>
        </w:tc>
        <w:tc>
          <w:tcPr>
            <w:tcW w:w="3305" w:type="dxa"/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</w:rPr>
            </w:pPr>
            <w:r w:rsidRPr="009C43EF">
              <w:rPr>
                <w:rFonts w:ascii="PT Astra Serif" w:hAnsi="PT Astra Serif"/>
              </w:rPr>
              <w:lastRenderedPageBreak/>
              <w:t>В случае наличия требований к регламентам, установленным в рамках Федерального закона «Об объектах культурного наследия» 73-ФЗ, в части требований к объемно-пространственным характеристикам объектов капитального строительства, следует руководствоваться ими.</w:t>
            </w:r>
          </w:p>
        </w:tc>
      </w:tr>
      <w:tr w:rsidR="008D0F7E" w:rsidRPr="009C43EF" w:rsidTr="00FB05E9">
        <w:tc>
          <w:tcPr>
            <w:tcW w:w="3304" w:type="dxa"/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</w:rPr>
            </w:pPr>
            <w:r w:rsidRPr="009C43EF">
              <w:rPr>
                <w:rFonts w:ascii="PT Astra Serif" w:hAnsi="PT Astra Serif"/>
              </w:rPr>
              <w:lastRenderedPageBreak/>
              <w:t>Требования к подсветке фасадов объектов капитального строительства</w:t>
            </w:r>
          </w:p>
        </w:tc>
        <w:tc>
          <w:tcPr>
            <w:tcW w:w="3304" w:type="dxa"/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</w:rPr>
            </w:pPr>
            <w:r w:rsidRPr="009C43EF">
              <w:rPr>
                <w:rFonts w:ascii="PT Astra Serif" w:hAnsi="PT Astra Serif"/>
              </w:rPr>
              <w:t>1.Фасады объектов капитального строительства, обращенные к территориям общего пользования, оборудуются архитектурных освещением.</w:t>
            </w:r>
          </w:p>
          <w:p w:rsidR="008D0F7E" w:rsidRPr="009C43EF" w:rsidRDefault="008D0F7E" w:rsidP="00FB05E9">
            <w:pPr>
              <w:jc w:val="both"/>
              <w:rPr>
                <w:rFonts w:ascii="PT Astra Serif" w:hAnsi="PT Astra Serif"/>
              </w:rPr>
            </w:pPr>
            <w:r w:rsidRPr="009C43EF">
              <w:rPr>
                <w:rFonts w:ascii="PT Astra Serif" w:hAnsi="PT Astra Serif"/>
              </w:rPr>
              <w:t>2.Архитектурное освещение фасадов не должно приводить к нарушению восприятия пропорций и иных визуальных характеристик объекта капитального строительства.</w:t>
            </w:r>
          </w:p>
        </w:tc>
        <w:tc>
          <w:tcPr>
            <w:tcW w:w="3305" w:type="dxa"/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</w:rPr>
            </w:pPr>
            <w:r w:rsidRPr="009C43EF">
              <w:rPr>
                <w:rFonts w:ascii="PT Astra Serif" w:hAnsi="PT Astra Serif"/>
              </w:rPr>
              <w:t>В случае наличия требований к регламентам, установленным в рамках Федерального закона «Об объектах культурного наследия» 73-ФЗ, в части требований к объемно-пространственным характеристикам объектов капитального строительства, следует руководствоваться ими.</w:t>
            </w:r>
          </w:p>
        </w:tc>
      </w:tr>
    </w:tbl>
    <w:p w:rsidR="008D0F7E" w:rsidRPr="009C43EF" w:rsidRDefault="008D0F7E" w:rsidP="008D0F7E">
      <w:pPr>
        <w:jc w:val="both"/>
        <w:rPr>
          <w:b/>
        </w:rPr>
      </w:pPr>
    </w:p>
    <w:p w:rsidR="008D0F7E" w:rsidRPr="009C43EF" w:rsidRDefault="008D0F7E" w:rsidP="008D0F7E">
      <w:pPr>
        <w:jc w:val="both"/>
        <w:rPr>
          <w:b/>
        </w:rPr>
      </w:pPr>
    </w:p>
    <w:p w:rsidR="008D0F7E" w:rsidRPr="009C43EF" w:rsidRDefault="008D0F7E" w:rsidP="008D0F7E">
      <w:pPr>
        <w:jc w:val="both"/>
        <w:rPr>
          <w:b/>
        </w:rPr>
      </w:pPr>
    </w:p>
    <w:p w:rsidR="008D0F7E" w:rsidRPr="009C43EF" w:rsidRDefault="008D0F7E" w:rsidP="008D0F7E">
      <w:pPr>
        <w:jc w:val="both"/>
        <w:rPr>
          <w:b/>
        </w:rPr>
      </w:pPr>
    </w:p>
    <w:p w:rsidR="008D0F7E" w:rsidRDefault="008D0F7E" w:rsidP="008D0F7E">
      <w:pPr>
        <w:jc w:val="both"/>
      </w:pPr>
    </w:p>
    <w:p w:rsidR="008D0F7E" w:rsidRDefault="008D0F7E" w:rsidP="008D0F7E">
      <w:r>
        <w:br w:type="page" w:clear="all"/>
      </w:r>
    </w:p>
    <w:p w:rsidR="008D0F7E" w:rsidRPr="008D0F7E" w:rsidRDefault="008D0F7E" w:rsidP="008D0F7E">
      <w:pPr>
        <w:jc w:val="both"/>
        <w:rPr>
          <w:bCs/>
          <w:noProof/>
          <w:sz w:val="20"/>
          <w:szCs w:val="20"/>
        </w:rPr>
      </w:pPr>
      <w:r w:rsidRPr="009C43EF">
        <w:rPr>
          <w:rFonts w:ascii="PT Astra Serif" w:hAnsi="PT Astra Serif"/>
          <w:noProof/>
        </w:rPr>
        <w:lastRenderedPageBreak/>
        <w:t xml:space="preserve">                                                                              </w:t>
      </w:r>
      <w:bookmarkStart w:id="0" w:name="_Toc138669286"/>
      <w:bookmarkStart w:id="1" w:name="_Toc143604414"/>
    </w:p>
    <w:p w:rsidR="008D0F7E" w:rsidRPr="008D0F7E" w:rsidRDefault="008D0F7E" w:rsidP="008D0F7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8D0F7E" w:rsidRPr="008D0F7E" w:rsidRDefault="008D0F7E" w:rsidP="008D0F7E">
      <w:pPr>
        <w:jc w:val="right"/>
        <w:rPr>
          <w:sz w:val="20"/>
          <w:szCs w:val="20"/>
        </w:rPr>
      </w:pPr>
      <w:r w:rsidRPr="008D0F7E">
        <w:rPr>
          <w:sz w:val="20"/>
          <w:szCs w:val="20"/>
        </w:rPr>
        <w:t xml:space="preserve">к Решению Совета муниципального </w:t>
      </w:r>
    </w:p>
    <w:p w:rsidR="008D0F7E" w:rsidRPr="008D0F7E" w:rsidRDefault="008D0F7E" w:rsidP="008D0F7E">
      <w:pPr>
        <w:jc w:val="right"/>
        <w:rPr>
          <w:sz w:val="20"/>
          <w:szCs w:val="20"/>
        </w:rPr>
      </w:pPr>
      <w:r w:rsidRPr="008D0F7E">
        <w:rPr>
          <w:sz w:val="20"/>
          <w:szCs w:val="20"/>
        </w:rPr>
        <w:t>образования город Красноармейск</w:t>
      </w:r>
    </w:p>
    <w:p w:rsidR="008D0F7E" w:rsidRPr="008D0F7E" w:rsidRDefault="008D0F7E" w:rsidP="008D0F7E">
      <w:pPr>
        <w:jc w:val="right"/>
        <w:rPr>
          <w:sz w:val="20"/>
          <w:szCs w:val="20"/>
        </w:rPr>
      </w:pPr>
      <w:r w:rsidRPr="008D0F7E">
        <w:rPr>
          <w:sz w:val="20"/>
          <w:szCs w:val="20"/>
        </w:rPr>
        <w:t>Красноармейского муниципального района</w:t>
      </w:r>
    </w:p>
    <w:p w:rsidR="008D0F7E" w:rsidRPr="008D0F7E" w:rsidRDefault="008D0F7E" w:rsidP="008D0F7E">
      <w:pPr>
        <w:jc w:val="right"/>
        <w:rPr>
          <w:sz w:val="20"/>
          <w:szCs w:val="20"/>
        </w:rPr>
      </w:pPr>
      <w:r w:rsidRPr="008D0F7E">
        <w:rPr>
          <w:sz w:val="20"/>
          <w:szCs w:val="20"/>
        </w:rPr>
        <w:t>Саратовской области</w:t>
      </w:r>
    </w:p>
    <w:p w:rsidR="008D0F7E" w:rsidRPr="008D0F7E" w:rsidRDefault="008D0F7E" w:rsidP="008D0F7E">
      <w:pPr>
        <w:jc w:val="right"/>
        <w:rPr>
          <w:sz w:val="20"/>
          <w:szCs w:val="20"/>
        </w:rPr>
      </w:pPr>
      <w:r w:rsidRPr="008D0F7E">
        <w:rPr>
          <w:sz w:val="20"/>
          <w:szCs w:val="20"/>
        </w:rPr>
        <w:t>от 27.11.2024г. № 68</w:t>
      </w:r>
    </w:p>
    <w:p w:rsidR="008D0F7E" w:rsidRPr="009C43EF" w:rsidRDefault="008D0F7E" w:rsidP="008D0F7E">
      <w:pPr>
        <w:jc w:val="right"/>
        <w:rPr>
          <w:rFonts w:ascii="PT Astra Serif" w:hAnsi="PT Astra Serif"/>
          <w:bCs/>
          <w:noProof/>
        </w:rPr>
      </w:pPr>
    </w:p>
    <w:p w:rsidR="008D0F7E" w:rsidRPr="009C43EF" w:rsidRDefault="008D0F7E" w:rsidP="008D0F7E">
      <w:pPr>
        <w:jc w:val="both"/>
        <w:rPr>
          <w:rFonts w:ascii="PT Astra Serif" w:hAnsi="PT Astra Serif"/>
          <w:noProof/>
        </w:rPr>
      </w:pPr>
    </w:p>
    <w:p w:rsidR="008D0F7E" w:rsidRPr="009C43EF" w:rsidRDefault="008D0F7E" w:rsidP="008D0F7E">
      <w:pPr>
        <w:jc w:val="both"/>
        <w:rPr>
          <w:rFonts w:ascii="PT Astra Serif" w:hAnsi="PT Astra Serif"/>
          <w:b/>
          <w:bCs/>
          <w:noProof/>
          <w:sz w:val="28"/>
          <w:szCs w:val="28"/>
        </w:rPr>
      </w:pPr>
    </w:p>
    <w:p w:rsidR="008D0F7E" w:rsidRPr="008D0F7E" w:rsidRDefault="008D0F7E" w:rsidP="008D0F7E">
      <w:pPr>
        <w:jc w:val="both"/>
        <w:rPr>
          <w:rFonts w:ascii="PT Astra Serif" w:hAnsi="PT Astra Serif"/>
          <w:b/>
          <w:bCs/>
          <w:noProof/>
          <w:sz w:val="28"/>
          <w:szCs w:val="28"/>
        </w:rPr>
      </w:pPr>
      <w:bookmarkStart w:id="2" w:name="_Hlk179965013"/>
      <w:bookmarkStart w:id="3" w:name="_Hlk179965861"/>
      <w:r w:rsidRPr="008D0F7E">
        <w:rPr>
          <w:rFonts w:ascii="PT Astra Serif" w:hAnsi="PT Astra Serif"/>
          <w:b/>
          <w:bCs/>
          <w:noProof/>
          <w:sz w:val="28"/>
          <w:szCs w:val="28"/>
        </w:rPr>
        <w:t>Статья 64. Рекреационные зоны</w:t>
      </w:r>
      <w:bookmarkEnd w:id="0"/>
      <w:bookmarkEnd w:id="1"/>
    </w:p>
    <w:p w:rsidR="008D0F7E" w:rsidRPr="008D0F7E" w:rsidRDefault="008D0F7E" w:rsidP="008D0F7E">
      <w:pPr>
        <w:numPr>
          <w:ilvl w:val="2"/>
          <w:numId w:val="7"/>
        </w:numPr>
        <w:jc w:val="both"/>
        <w:rPr>
          <w:rFonts w:ascii="PT Astra Serif" w:hAnsi="PT Astra Serif"/>
          <w:noProof/>
          <w:sz w:val="28"/>
          <w:szCs w:val="28"/>
        </w:rPr>
      </w:pPr>
      <w:bookmarkStart w:id="4" w:name="_Toc136094870"/>
      <w:bookmarkStart w:id="5" w:name="_Toc136094961"/>
      <w:bookmarkEnd w:id="2"/>
      <w:r w:rsidRPr="008D0F7E">
        <w:rPr>
          <w:rFonts w:ascii="PT Astra Serif" w:hAnsi="PT Astra Serif"/>
          <w:b/>
          <w:bCs/>
          <w:noProof/>
          <w:sz w:val="28"/>
          <w:szCs w:val="28"/>
        </w:rPr>
        <w:t>Р2– Зона зеленых насаждений общего пользования</w:t>
      </w:r>
      <w:bookmarkEnd w:id="4"/>
      <w:bookmarkEnd w:id="5"/>
    </w:p>
    <w:p w:rsidR="008D0F7E" w:rsidRPr="008D0F7E" w:rsidRDefault="008D0F7E" w:rsidP="008D0F7E">
      <w:pPr>
        <w:jc w:val="both"/>
        <w:rPr>
          <w:rFonts w:ascii="PT Astra Serif" w:hAnsi="PT Astra Serif"/>
          <w:noProof/>
          <w:sz w:val="28"/>
          <w:szCs w:val="28"/>
        </w:rPr>
      </w:pPr>
      <w:r w:rsidRPr="008D0F7E">
        <w:rPr>
          <w:rFonts w:ascii="PT Astra Serif" w:hAnsi="PT Astra Serif"/>
          <w:noProof/>
          <w:sz w:val="28"/>
          <w:szCs w:val="28"/>
        </w:rPr>
        <w:t>Территориальная зона Р2 включает благоустроенные озелененные территории на всей территории поселка, предназначенные для повседневного кратковременного отдыха населения, а также включает лесные территории естественного происхождения в поселковой черте, активно используемые населением в рекреационных целях. На территории лесов и лесопарков сохраняется природный ландшафт, с проведением благоустройства и организации мест отдыха.</w:t>
      </w:r>
    </w:p>
    <w:tbl>
      <w:tblPr>
        <w:tblStyle w:val="af8"/>
        <w:tblW w:w="9923" w:type="dxa"/>
        <w:tblInd w:w="108" w:type="dxa"/>
        <w:tblLook w:val="04A0"/>
      </w:tblPr>
      <w:tblGrid>
        <w:gridCol w:w="2835"/>
        <w:gridCol w:w="7088"/>
      </w:tblGrid>
      <w:tr w:rsidR="008D0F7E" w:rsidRPr="009C43EF" w:rsidTr="00FB05E9">
        <w:trPr>
          <w:trHeight w:val="3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  <w:b/>
                <w:bCs/>
                <w:noProof/>
              </w:rPr>
            </w:pPr>
            <w:r w:rsidRPr="009C43EF">
              <w:rPr>
                <w:rFonts w:ascii="PT Astra Serif" w:hAnsi="PT Astra Serif"/>
                <w:b/>
                <w:bCs/>
                <w:noProof/>
              </w:rPr>
              <w:t>Вид использования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  <w:b/>
                <w:bCs/>
                <w:noProof/>
              </w:rPr>
            </w:pPr>
            <w:r w:rsidRPr="009C43EF">
              <w:rPr>
                <w:rFonts w:ascii="PT Astra Serif" w:hAnsi="PT Astra Serif"/>
                <w:b/>
                <w:bCs/>
                <w:noProof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D0F7E" w:rsidRPr="009C43EF" w:rsidTr="00FB05E9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  <w:b/>
                <w:bCs/>
                <w:i/>
                <w:iCs/>
                <w:noProof/>
              </w:rPr>
            </w:pPr>
            <w:r w:rsidRPr="009C43EF">
              <w:rPr>
                <w:rFonts w:ascii="PT Astra Serif" w:hAnsi="PT Astra Serif"/>
                <w:b/>
                <w:bCs/>
                <w:iCs/>
                <w:noProof/>
              </w:rPr>
              <w:t>Основные виды разрешенного использования:</w:t>
            </w:r>
          </w:p>
        </w:tc>
      </w:tr>
      <w:tr w:rsidR="008D0F7E" w:rsidRPr="009C43EF" w:rsidTr="00FB05E9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Передвижное жилье (2.4)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1.Предельные (минимальные и (или) максимальные) размеры земельных участков:</w:t>
            </w:r>
          </w:p>
          <w:p w:rsidR="008D0F7E" w:rsidRPr="009C43EF" w:rsidRDefault="008D0F7E" w:rsidP="008D0F7E">
            <w:pPr>
              <w:numPr>
                <w:ilvl w:val="0"/>
                <w:numId w:val="8"/>
              </w:num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площадь земельного участка- от 300 до 20000 кв. м.</w:t>
            </w:r>
          </w:p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2.Минимальные отступы от границ земельных участков – не установлены.</w:t>
            </w:r>
          </w:p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3.Предельное количество этажей – не установлены.</w:t>
            </w:r>
          </w:p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4.Максимальный процент застройки в границах земельного участка – не установлены.</w:t>
            </w:r>
          </w:p>
        </w:tc>
      </w:tr>
      <w:tr w:rsidR="008D0F7E" w:rsidRPr="009C43EF" w:rsidTr="00FB05E9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Коммунальное обслуживание (3.1)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Не подлежат установлению. При новом строительстве устанавливаются в соответствии с документами по планировке территории.</w:t>
            </w:r>
          </w:p>
        </w:tc>
      </w:tr>
      <w:tr w:rsidR="008D0F7E" w:rsidRPr="009C43EF" w:rsidTr="00FB05E9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Культурное развитие (3.6)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Параметры застройки не подлежат установлению. 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СНиП, технических регламентов, СанПиН, и др. документов.</w:t>
            </w:r>
          </w:p>
        </w:tc>
      </w:tr>
      <w:tr w:rsidR="008D0F7E" w:rsidRPr="009C43EF" w:rsidTr="00FB05E9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Развлечение (4.8)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1.Предельные (минимальные и (или) максимальные) размеры земельных участков под развлечения:</w:t>
            </w:r>
          </w:p>
          <w:p w:rsidR="008D0F7E" w:rsidRPr="009C43EF" w:rsidRDefault="008D0F7E" w:rsidP="008D0F7E">
            <w:pPr>
              <w:numPr>
                <w:ilvl w:val="0"/>
                <w:numId w:val="8"/>
              </w:num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площадь земельного участка - от 500 до 1000 кв. м;</w:t>
            </w:r>
          </w:p>
          <w:p w:rsidR="008D0F7E" w:rsidRPr="009C43EF" w:rsidRDefault="008D0F7E" w:rsidP="008D0F7E">
            <w:pPr>
              <w:numPr>
                <w:ilvl w:val="0"/>
                <w:numId w:val="8"/>
              </w:num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ширина земельного участка - от 15 до 100 м;</w:t>
            </w:r>
          </w:p>
          <w:p w:rsidR="008D0F7E" w:rsidRPr="009C43EF" w:rsidRDefault="008D0F7E" w:rsidP="008D0F7E">
            <w:pPr>
              <w:numPr>
                <w:ilvl w:val="0"/>
                <w:numId w:val="8"/>
              </w:num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длина земельного участка - от 15 до 100 м.</w:t>
            </w:r>
          </w:p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2.Минимальные отступы от границ земельных участков - 1 м.</w:t>
            </w:r>
          </w:p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3. Предельное количество этажей –1 этаж.</w:t>
            </w:r>
          </w:p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4.Максимальный процент застройки в границах земельного участка – 60 %.</w:t>
            </w:r>
          </w:p>
        </w:tc>
      </w:tr>
      <w:tr w:rsidR="008D0F7E" w:rsidRPr="009C43EF" w:rsidTr="00FB05E9">
        <w:trPr>
          <w:trHeight w:val="34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Спорт (5.1)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Не подлежат установлению.</w:t>
            </w:r>
          </w:p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</w:p>
        </w:tc>
      </w:tr>
      <w:tr w:rsidR="008D0F7E" w:rsidRPr="009C43EF" w:rsidTr="00FB05E9">
        <w:trPr>
          <w:trHeight w:val="3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Охота и рыбалка (5.3)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Не подлежат установлению. При новом строительстве устанавливаются в соответствии с документами по планировке территории</w:t>
            </w:r>
          </w:p>
        </w:tc>
      </w:tr>
      <w:tr w:rsidR="008D0F7E" w:rsidRPr="009C43EF" w:rsidTr="00FB05E9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Связь (6.8)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Не подлежат установлению. При новом строительстве устанавливаются в соответствии с документами по планировке территории</w:t>
            </w:r>
          </w:p>
        </w:tc>
      </w:tr>
      <w:tr w:rsidR="008D0F7E" w:rsidRPr="009C43EF" w:rsidTr="00FB05E9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Трубопроводный транспорт (7.5)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</w:p>
        </w:tc>
      </w:tr>
      <w:tr w:rsidR="008D0F7E" w:rsidRPr="009C43EF" w:rsidTr="00FB05E9">
        <w:trPr>
          <w:trHeight w:val="7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lastRenderedPageBreak/>
              <w:t>Общее пользование водными объектами (11.1)</w:t>
            </w:r>
          </w:p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Не подлежат установлению.</w:t>
            </w:r>
          </w:p>
        </w:tc>
      </w:tr>
      <w:tr w:rsidR="008D0F7E" w:rsidRPr="009C43EF" w:rsidTr="00FB05E9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Земельные участки (территории) общего пользования (12.0)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Площадь озелененных территорий общего пользования – 12кв.м на одного человека.</w:t>
            </w:r>
          </w:p>
        </w:tc>
      </w:tr>
      <w:tr w:rsidR="008D0F7E" w:rsidRPr="009C43EF" w:rsidTr="00FB05E9">
        <w:trPr>
          <w:trHeight w:val="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  <w:b/>
                <w:bCs/>
                <w:i/>
                <w:iCs/>
                <w:noProof/>
              </w:rPr>
            </w:pPr>
            <w:r w:rsidRPr="009C43EF">
              <w:rPr>
                <w:rFonts w:ascii="PT Astra Serif" w:hAnsi="PT Astra Serif"/>
                <w:b/>
                <w:bCs/>
                <w:iCs/>
                <w:noProof/>
              </w:rPr>
              <w:t>Вспомогательные виды разрешенного использования:</w:t>
            </w:r>
          </w:p>
        </w:tc>
      </w:tr>
      <w:tr w:rsidR="008D0F7E" w:rsidRPr="009C43EF" w:rsidTr="00FB05E9">
        <w:trPr>
          <w:trHeight w:val="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  <w:iCs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Не установлены</w:t>
            </w:r>
          </w:p>
        </w:tc>
      </w:tr>
      <w:tr w:rsidR="008D0F7E" w:rsidRPr="009C43EF" w:rsidTr="00FB05E9">
        <w:trPr>
          <w:trHeight w:val="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  <w:b/>
                <w:bCs/>
                <w:i/>
                <w:iCs/>
                <w:noProof/>
              </w:rPr>
            </w:pPr>
            <w:r w:rsidRPr="009C43EF">
              <w:rPr>
                <w:rFonts w:ascii="PT Astra Serif" w:hAnsi="PT Astra Serif"/>
                <w:b/>
                <w:bCs/>
                <w:iCs/>
                <w:noProof/>
              </w:rPr>
              <w:t>Условно разрешенные виды использования:</w:t>
            </w:r>
          </w:p>
        </w:tc>
      </w:tr>
      <w:tr w:rsidR="008D0F7E" w:rsidRPr="009C43EF" w:rsidTr="00FB05E9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Предпринимательство (4.0)</w:t>
            </w:r>
          </w:p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1.Предельные (минимальные и (или) максимальные) размеры земельных участков гостиничного обслуживания:</w:t>
            </w:r>
          </w:p>
          <w:p w:rsidR="008D0F7E" w:rsidRPr="009C43EF" w:rsidRDefault="008D0F7E" w:rsidP="008D0F7E">
            <w:pPr>
              <w:numPr>
                <w:ilvl w:val="0"/>
                <w:numId w:val="9"/>
              </w:num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площадь земельного участка - от 200 до 2000 кв. м.</w:t>
            </w:r>
          </w:p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2.Минимальные отступы от границ земельных участков -1м.</w:t>
            </w:r>
          </w:p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3.Предельное количество этажей -  до 3 этажей.</w:t>
            </w:r>
          </w:p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4.Максимальный процент застройки в границах земельного участка – 60 %.</w:t>
            </w:r>
          </w:p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5.Иные показатели - максимальная высота оград – 1м в легких конструкциях с декоративными элементами.</w:t>
            </w:r>
          </w:p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6.При строительстве, капитальном ремонте и реконструкции фасада здания следует разрабатывать архитектурно-градостроительный облик и согласовывать его с главой Красноармейского муниципального района Саратовской области, в целях поддержания единого стиля населенного пункта.</w:t>
            </w:r>
          </w:p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7. Прочие параметры разрешенного строительства и реконструкции объектов капитального строительства определяются на основе требований технических регламентов, региональных и местных нормативов градостроительного проектирования.</w:t>
            </w:r>
          </w:p>
        </w:tc>
      </w:tr>
      <w:tr w:rsidR="008D0F7E" w:rsidRPr="009C43EF" w:rsidTr="00FB05E9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Магазины (4.4)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1.Предельные (минимальные и (или) максимальные) размеры земельных участков:</w:t>
            </w:r>
          </w:p>
          <w:p w:rsidR="008D0F7E" w:rsidRPr="009C43EF" w:rsidRDefault="008D0F7E" w:rsidP="008D0F7E">
            <w:pPr>
              <w:numPr>
                <w:ilvl w:val="0"/>
                <w:numId w:val="9"/>
              </w:num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минимальная площадь земельного участка от 200 до 6000 кв.м.</w:t>
            </w:r>
          </w:p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2.Минимальные отступы от границ земельных участков -1 м.</w:t>
            </w:r>
          </w:p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3.Предельное количество этажей -  до 3 этажей.</w:t>
            </w:r>
          </w:p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4.Максимальный процент застройки в границах земельного участка – 60 %.</w:t>
            </w:r>
          </w:p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5.Иные показатели - максимальная высота оград – 1м в легких конструкциях с декоративными элементами.</w:t>
            </w:r>
          </w:p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6. При строительстве, капитальном ремонте и реконструкции фасада здания следует разрабатывать архитектурно-градостроительный облик и согласовывать его с главой Красноармейского муниципального района Саратовской области, в целях поддержания единого стиля населенного пункта.</w:t>
            </w:r>
          </w:p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7. Прочие параметры разрешенного строительства и реконструкции объектов капитального строительства определяются на основе требований технических регламентов, региональных и местных нормативов градостроительного проектирования.</w:t>
            </w:r>
          </w:p>
        </w:tc>
      </w:tr>
      <w:tr w:rsidR="008D0F7E" w:rsidRPr="009C43EF" w:rsidTr="00FB05E9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Общественное питание (4.6)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</w:p>
        </w:tc>
      </w:tr>
      <w:tr w:rsidR="008D0F7E" w:rsidRPr="009C43EF" w:rsidTr="00FB05E9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Гостиничное обслуживание (4.7)</w:t>
            </w:r>
          </w:p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1.Предельные (минимальные и (или) максимальные) размеры земельных участков гостиничного обслуживания:</w:t>
            </w:r>
          </w:p>
          <w:p w:rsidR="008D0F7E" w:rsidRPr="009C43EF" w:rsidRDefault="008D0F7E" w:rsidP="008D0F7E">
            <w:pPr>
              <w:numPr>
                <w:ilvl w:val="0"/>
                <w:numId w:val="9"/>
              </w:num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площадь земельного участка - от 400 до 6000 кв. м.</w:t>
            </w:r>
          </w:p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2.Минимальные отступы от границ земельных участков -1 м.</w:t>
            </w:r>
          </w:p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3.Предельное количество этажей -  до 3 этажей.</w:t>
            </w:r>
          </w:p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4. Максимальный процент застройки в границах земельного участка – 60 %.</w:t>
            </w:r>
          </w:p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lastRenderedPageBreak/>
              <w:t>5.Иные показатели - максимальная высота оград – 1 м в легких конструкциях с декоративными элементами.</w:t>
            </w:r>
          </w:p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6. При строительстве, капитальном ремонте и реконструкции фасада здания следует разрабатывать архитектурно-градостроительный облик и согласовывать его с главой Красноармейского муниципального района Саратовской области, в целях поддержания единого стиля населенного пункта.</w:t>
            </w:r>
          </w:p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7. Прочие параметры разрешенного строительства и реконструкции объектов капитального строительства определяются на основе требований технических регламентов, региональных и местных нормативов градостроительного проектирования.</w:t>
            </w:r>
          </w:p>
        </w:tc>
      </w:tr>
      <w:tr w:rsidR="008D0F7E" w:rsidRPr="009C43EF" w:rsidTr="00FB05E9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lastRenderedPageBreak/>
              <w:t>Ведение огородничества (13.1)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7E" w:rsidRPr="009C43EF" w:rsidRDefault="008D0F7E" w:rsidP="008D0F7E">
            <w:pPr>
              <w:numPr>
                <w:ilvl w:val="1"/>
                <w:numId w:val="5"/>
              </w:numPr>
              <w:ind w:left="38" w:hanging="3"/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Предельные (минимальные и (или) максимальные) размеры земельных участков:</w:t>
            </w:r>
          </w:p>
          <w:p w:rsidR="008D0F7E" w:rsidRPr="009C43EF" w:rsidRDefault="008D0F7E" w:rsidP="00FB05E9">
            <w:pPr>
              <w:jc w:val="both"/>
              <w:rPr>
                <w:rFonts w:ascii="PT Astra Serif" w:hAnsi="PT Astra Serif"/>
                <w:noProof/>
              </w:rPr>
            </w:pPr>
            <w:r w:rsidRPr="009C43EF">
              <w:rPr>
                <w:rFonts w:ascii="PT Astra Serif" w:hAnsi="PT Astra Serif"/>
                <w:noProof/>
              </w:rPr>
              <w:t>- площадь земельного участка (ведение огородничества) – от 100 до 400 кв.м.</w:t>
            </w:r>
          </w:p>
        </w:tc>
      </w:tr>
    </w:tbl>
    <w:p w:rsidR="008D0F7E" w:rsidRPr="008D0F7E" w:rsidRDefault="008D0F7E" w:rsidP="008D0F7E">
      <w:pPr>
        <w:jc w:val="both"/>
        <w:rPr>
          <w:rFonts w:ascii="PT Astra Serif" w:hAnsi="PT Astra Serif"/>
          <w:noProof/>
          <w:sz w:val="28"/>
          <w:szCs w:val="28"/>
        </w:rPr>
      </w:pPr>
      <w:r w:rsidRPr="008D0F7E">
        <w:rPr>
          <w:rFonts w:ascii="PT Astra Serif" w:hAnsi="PT Astra Serif"/>
          <w:noProof/>
          <w:sz w:val="28"/>
          <w:szCs w:val="28"/>
        </w:rPr>
        <w:t>Ограничения использования земельных участков и объектов капитального строительства указаны в главе 14 настоящих Правил.</w:t>
      </w:r>
    </w:p>
    <w:p w:rsidR="008D0F7E" w:rsidRPr="008D0F7E" w:rsidRDefault="008D0F7E" w:rsidP="008D0F7E">
      <w:pPr>
        <w:jc w:val="both"/>
        <w:rPr>
          <w:rFonts w:ascii="PT Astra Serif" w:hAnsi="PT Astra Serif"/>
          <w:b/>
          <w:noProof/>
          <w:sz w:val="28"/>
          <w:szCs w:val="28"/>
        </w:rPr>
      </w:pPr>
    </w:p>
    <w:p w:rsidR="008D0F7E" w:rsidRPr="009C43EF" w:rsidRDefault="008D0F7E" w:rsidP="008D0F7E">
      <w:pPr>
        <w:jc w:val="both"/>
        <w:rPr>
          <w:rFonts w:ascii="PT Astra Serif" w:hAnsi="PT Astra Serif"/>
          <w:b/>
          <w:noProof/>
          <w:sz w:val="28"/>
          <w:szCs w:val="28"/>
        </w:rPr>
      </w:pPr>
    </w:p>
    <w:p w:rsidR="008D0F7E" w:rsidRPr="009C43EF" w:rsidRDefault="008D0F7E" w:rsidP="008D0F7E">
      <w:pPr>
        <w:jc w:val="both"/>
        <w:rPr>
          <w:rFonts w:ascii="PT Astra Serif" w:hAnsi="PT Astra Serif"/>
          <w:b/>
          <w:noProof/>
          <w:sz w:val="28"/>
          <w:szCs w:val="28"/>
        </w:rPr>
      </w:pPr>
    </w:p>
    <w:p w:rsidR="008D0F7E" w:rsidRPr="009C43EF" w:rsidRDefault="008D0F7E" w:rsidP="008D0F7E">
      <w:pPr>
        <w:jc w:val="both"/>
        <w:rPr>
          <w:rFonts w:ascii="PT Astra Serif" w:hAnsi="PT Astra Serif"/>
          <w:b/>
          <w:noProof/>
          <w:sz w:val="28"/>
          <w:szCs w:val="28"/>
        </w:rPr>
      </w:pPr>
    </w:p>
    <w:p w:rsidR="008D0F7E" w:rsidRPr="009C43EF" w:rsidRDefault="008D0F7E" w:rsidP="008D0F7E">
      <w:pPr>
        <w:jc w:val="both"/>
        <w:rPr>
          <w:rFonts w:ascii="PT Astra Serif" w:hAnsi="PT Astra Serif"/>
          <w:b/>
          <w:noProof/>
          <w:sz w:val="28"/>
          <w:szCs w:val="28"/>
        </w:rPr>
      </w:pPr>
    </w:p>
    <w:p w:rsidR="008D0F7E" w:rsidRPr="009C43EF" w:rsidRDefault="008D0F7E" w:rsidP="008D0F7E">
      <w:pPr>
        <w:jc w:val="both"/>
        <w:rPr>
          <w:rFonts w:ascii="PT Astra Serif" w:hAnsi="PT Astra Serif"/>
          <w:b/>
          <w:noProof/>
          <w:sz w:val="28"/>
          <w:szCs w:val="28"/>
        </w:rPr>
      </w:pPr>
    </w:p>
    <w:p w:rsidR="008D0F7E" w:rsidRPr="009C43EF" w:rsidRDefault="008D0F7E" w:rsidP="008D0F7E">
      <w:pPr>
        <w:jc w:val="both"/>
        <w:rPr>
          <w:rFonts w:ascii="PT Astra Serif" w:hAnsi="PT Astra Serif"/>
          <w:b/>
          <w:noProof/>
          <w:sz w:val="28"/>
          <w:szCs w:val="28"/>
        </w:rPr>
      </w:pPr>
    </w:p>
    <w:p w:rsidR="008D0F7E" w:rsidRPr="009C43EF" w:rsidRDefault="008D0F7E" w:rsidP="008D0F7E">
      <w:pPr>
        <w:jc w:val="both"/>
        <w:rPr>
          <w:rFonts w:ascii="PT Astra Serif" w:hAnsi="PT Astra Serif"/>
          <w:b/>
          <w:noProof/>
          <w:sz w:val="28"/>
          <w:szCs w:val="28"/>
        </w:rPr>
      </w:pPr>
    </w:p>
    <w:p w:rsidR="008D0F7E" w:rsidRPr="009C43EF" w:rsidRDefault="008D0F7E" w:rsidP="008D0F7E">
      <w:pPr>
        <w:jc w:val="both"/>
        <w:rPr>
          <w:rFonts w:ascii="PT Astra Serif" w:hAnsi="PT Astra Serif"/>
          <w:b/>
          <w:noProof/>
          <w:sz w:val="28"/>
          <w:szCs w:val="28"/>
        </w:rPr>
      </w:pPr>
    </w:p>
    <w:p w:rsidR="008D0F7E" w:rsidRPr="009C43EF" w:rsidRDefault="008D0F7E" w:rsidP="008D0F7E">
      <w:pPr>
        <w:jc w:val="both"/>
        <w:rPr>
          <w:rFonts w:ascii="PT Astra Serif" w:hAnsi="PT Astra Serif"/>
          <w:b/>
          <w:noProof/>
          <w:sz w:val="28"/>
          <w:szCs w:val="28"/>
        </w:rPr>
      </w:pPr>
    </w:p>
    <w:p w:rsidR="008D0F7E" w:rsidRPr="009C43EF" w:rsidRDefault="008D0F7E" w:rsidP="008D0F7E">
      <w:pPr>
        <w:jc w:val="both"/>
        <w:rPr>
          <w:rFonts w:ascii="PT Astra Serif" w:hAnsi="PT Astra Serif"/>
          <w:b/>
          <w:noProof/>
          <w:sz w:val="28"/>
          <w:szCs w:val="28"/>
        </w:rPr>
      </w:pPr>
    </w:p>
    <w:p w:rsidR="008D0F7E" w:rsidRPr="009C43EF" w:rsidRDefault="008D0F7E" w:rsidP="008D0F7E">
      <w:pPr>
        <w:jc w:val="both"/>
        <w:rPr>
          <w:rFonts w:ascii="PT Astra Serif" w:hAnsi="PT Astra Serif"/>
          <w:b/>
          <w:noProof/>
          <w:sz w:val="28"/>
          <w:szCs w:val="28"/>
        </w:rPr>
      </w:pPr>
    </w:p>
    <w:p w:rsidR="008D0F7E" w:rsidRPr="009C43EF" w:rsidRDefault="008D0F7E" w:rsidP="008D0F7E">
      <w:pPr>
        <w:jc w:val="both"/>
        <w:rPr>
          <w:rFonts w:ascii="PT Astra Serif" w:hAnsi="PT Astra Serif"/>
          <w:b/>
          <w:noProof/>
          <w:sz w:val="28"/>
          <w:szCs w:val="28"/>
        </w:rPr>
      </w:pPr>
    </w:p>
    <w:bookmarkEnd w:id="3"/>
    <w:p w:rsidR="008D0F7E" w:rsidRPr="009C43EF" w:rsidRDefault="008D0F7E" w:rsidP="008D0F7E">
      <w:pPr>
        <w:jc w:val="both"/>
        <w:rPr>
          <w:rFonts w:ascii="PT Astra Serif" w:hAnsi="PT Astra Serif"/>
          <w:b/>
          <w:noProof/>
          <w:sz w:val="28"/>
          <w:szCs w:val="28"/>
        </w:rPr>
      </w:pPr>
    </w:p>
    <w:p w:rsidR="008D0F7E" w:rsidRPr="009C43EF" w:rsidRDefault="008D0F7E" w:rsidP="008D0F7E">
      <w:pPr>
        <w:jc w:val="both"/>
        <w:rPr>
          <w:rFonts w:ascii="PT Astra Serif" w:hAnsi="PT Astra Serif"/>
          <w:b/>
          <w:noProof/>
          <w:sz w:val="28"/>
          <w:szCs w:val="28"/>
        </w:rPr>
      </w:pPr>
    </w:p>
    <w:p w:rsidR="008D0F7E" w:rsidRPr="009C43EF" w:rsidRDefault="008D0F7E" w:rsidP="008D0F7E">
      <w:pPr>
        <w:jc w:val="both"/>
        <w:rPr>
          <w:rFonts w:ascii="PT Astra Serif" w:hAnsi="PT Astra Serif"/>
          <w:b/>
          <w:noProof/>
          <w:sz w:val="28"/>
          <w:szCs w:val="28"/>
        </w:rPr>
      </w:pPr>
    </w:p>
    <w:p w:rsidR="008D0F7E" w:rsidRPr="009C43EF" w:rsidRDefault="008D0F7E" w:rsidP="008D0F7E">
      <w:pPr>
        <w:jc w:val="both"/>
        <w:rPr>
          <w:rFonts w:ascii="PT Astra Serif" w:hAnsi="PT Astra Serif"/>
          <w:b/>
          <w:noProof/>
          <w:sz w:val="28"/>
          <w:szCs w:val="28"/>
        </w:rPr>
      </w:pPr>
    </w:p>
    <w:p w:rsidR="008D0F7E" w:rsidRPr="009C43EF" w:rsidRDefault="008D0F7E" w:rsidP="008D0F7E">
      <w:pPr>
        <w:jc w:val="both"/>
        <w:rPr>
          <w:rFonts w:ascii="PT Astra Serif" w:hAnsi="PT Astra Serif"/>
          <w:b/>
          <w:noProof/>
          <w:sz w:val="28"/>
          <w:szCs w:val="28"/>
        </w:rPr>
      </w:pPr>
    </w:p>
    <w:p w:rsidR="008D0F7E" w:rsidRPr="009C43EF" w:rsidRDefault="008D0F7E" w:rsidP="008D0F7E">
      <w:pPr>
        <w:jc w:val="both"/>
        <w:rPr>
          <w:rFonts w:ascii="PT Astra Serif" w:hAnsi="PT Astra Serif"/>
          <w:b/>
          <w:noProof/>
          <w:sz w:val="28"/>
          <w:szCs w:val="28"/>
        </w:rPr>
      </w:pPr>
    </w:p>
    <w:p w:rsidR="008D0F7E" w:rsidRPr="009C43EF" w:rsidRDefault="008D0F7E" w:rsidP="008D0F7E">
      <w:pPr>
        <w:jc w:val="both"/>
        <w:rPr>
          <w:rFonts w:ascii="PT Astra Serif" w:hAnsi="PT Astra Serif"/>
          <w:b/>
          <w:noProof/>
          <w:sz w:val="28"/>
          <w:szCs w:val="28"/>
        </w:rPr>
      </w:pPr>
    </w:p>
    <w:p w:rsidR="008D0F7E" w:rsidRPr="009C43EF" w:rsidRDefault="008D0F7E" w:rsidP="008D0F7E">
      <w:pPr>
        <w:jc w:val="both"/>
        <w:rPr>
          <w:rFonts w:ascii="PT Astra Serif" w:hAnsi="PT Astra Serif"/>
          <w:b/>
          <w:noProof/>
          <w:sz w:val="28"/>
          <w:szCs w:val="28"/>
        </w:rPr>
      </w:pPr>
    </w:p>
    <w:p w:rsidR="008D0F7E" w:rsidRPr="009C43EF" w:rsidRDefault="008D0F7E" w:rsidP="008D0F7E">
      <w:pPr>
        <w:jc w:val="both"/>
        <w:rPr>
          <w:rFonts w:ascii="PT Astra Serif" w:hAnsi="PT Astra Serif"/>
          <w:b/>
          <w:noProof/>
          <w:sz w:val="28"/>
          <w:szCs w:val="28"/>
        </w:rPr>
      </w:pPr>
    </w:p>
    <w:p w:rsidR="008D0F7E" w:rsidRPr="009C43EF" w:rsidRDefault="008D0F7E" w:rsidP="008D0F7E">
      <w:pPr>
        <w:jc w:val="both"/>
        <w:rPr>
          <w:rFonts w:ascii="PT Astra Serif" w:hAnsi="PT Astra Serif"/>
          <w:b/>
          <w:noProof/>
          <w:sz w:val="28"/>
          <w:szCs w:val="28"/>
        </w:rPr>
      </w:pPr>
    </w:p>
    <w:p w:rsidR="008D0F7E" w:rsidRPr="009C43EF" w:rsidRDefault="008D0F7E" w:rsidP="008D0F7E">
      <w:pPr>
        <w:jc w:val="both"/>
        <w:rPr>
          <w:rFonts w:ascii="PT Astra Serif" w:hAnsi="PT Astra Serif"/>
          <w:b/>
          <w:noProof/>
          <w:sz w:val="28"/>
          <w:szCs w:val="28"/>
        </w:rPr>
      </w:pPr>
    </w:p>
    <w:p w:rsidR="008D0F7E" w:rsidRPr="009C43EF" w:rsidRDefault="008D0F7E" w:rsidP="008D0F7E">
      <w:pPr>
        <w:jc w:val="both"/>
        <w:rPr>
          <w:rFonts w:ascii="PT Astra Serif" w:hAnsi="PT Astra Serif"/>
          <w:b/>
          <w:noProof/>
          <w:sz w:val="28"/>
          <w:szCs w:val="28"/>
        </w:rPr>
      </w:pPr>
    </w:p>
    <w:p w:rsidR="008D0F7E" w:rsidRPr="009C43EF" w:rsidRDefault="008D0F7E" w:rsidP="008D0F7E">
      <w:pPr>
        <w:jc w:val="both"/>
        <w:rPr>
          <w:rFonts w:ascii="PT Astra Serif" w:hAnsi="PT Astra Serif"/>
          <w:b/>
          <w:noProof/>
          <w:sz w:val="28"/>
          <w:szCs w:val="28"/>
        </w:rPr>
      </w:pPr>
    </w:p>
    <w:p w:rsidR="008D0F7E" w:rsidRPr="009C43EF" w:rsidRDefault="008D0F7E" w:rsidP="008D0F7E">
      <w:pPr>
        <w:jc w:val="both"/>
        <w:rPr>
          <w:rFonts w:ascii="PT Astra Serif" w:hAnsi="PT Astra Serif"/>
          <w:b/>
          <w:noProof/>
          <w:sz w:val="28"/>
          <w:szCs w:val="28"/>
        </w:rPr>
      </w:pPr>
    </w:p>
    <w:p w:rsidR="008D0F7E" w:rsidRPr="009C43EF" w:rsidRDefault="008D0F7E" w:rsidP="008D0F7E">
      <w:pPr>
        <w:jc w:val="both"/>
        <w:rPr>
          <w:rFonts w:ascii="PT Astra Serif" w:hAnsi="PT Astra Serif"/>
          <w:b/>
          <w:noProof/>
          <w:sz w:val="28"/>
          <w:szCs w:val="28"/>
        </w:rPr>
      </w:pPr>
    </w:p>
    <w:p w:rsidR="008D0F7E" w:rsidRPr="009C43EF" w:rsidRDefault="008D0F7E" w:rsidP="008D0F7E">
      <w:pPr>
        <w:jc w:val="both"/>
        <w:rPr>
          <w:rFonts w:ascii="PT Astra Serif" w:hAnsi="PT Astra Serif"/>
          <w:b/>
          <w:noProof/>
          <w:sz w:val="28"/>
          <w:szCs w:val="28"/>
        </w:rPr>
      </w:pPr>
    </w:p>
    <w:p w:rsidR="008D0F7E" w:rsidRPr="00FE5473" w:rsidRDefault="008D0F7E" w:rsidP="008D0F7E">
      <w:pPr>
        <w:jc w:val="both"/>
        <w:rPr>
          <w:rFonts w:ascii="PT Astra Serif" w:hAnsi="PT Astra Serif"/>
          <w:sz w:val="28"/>
          <w:szCs w:val="28"/>
        </w:rPr>
      </w:pPr>
    </w:p>
    <w:p w:rsidR="008B4DFE" w:rsidRPr="008B4DFE" w:rsidRDefault="008B4DFE" w:rsidP="006139B7">
      <w:pPr>
        <w:spacing w:line="276" w:lineRule="auto"/>
        <w:jc w:val="center"/>
        <w:rPr>
          <w:iCs/>
          <w:sz w:val="28"/>
          <w:szCs w:val="28"/>
        </w:rPr>
      </w:pPr>
    </w:p>
    <w:sectPr w:rsidR="008B4DFE" w:rsidRPr="008B4DFE" w:rsidSect="00AF640E">
      <w:pgSz w:w="11906" w:h="16838"/>
      <w:pgMar w:top="568" w:right="680" w:bottom="426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D58" w:rsidRDefault="00577D58">
      <w:r>
        <w:separator/>
      </w:r>
    </w:p>
  </w:endnote>
  <w:endnote w:type="continuationSeparator" w:id="0">
    <w:p w:rsidR="00577D58" w:rsidRDefault="00577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D58" w:rsidRDefault="00577D58">
      <w:r>
        <w:separator/>
      </w:r>
    </w:p>
  </w:footnote>
  <w:footnote w:type="continuationSeparator" w:id="0">
    <w:p w:rsidR="00577D58" w:rsidRDefault="00577D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65A"/>
    <w:multiLevelType w:val="multilevel"/>
    <w:tmpl w:val="ACEC576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F6F5B23"/>
    <w:multiLevelType w:val="hybridMultilevel"/>
    <w:tmpl w:val="272C1336"/>
    <w:lvl w:ilvl="0" w:tplc="7ADE2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D636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AA4C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DCAA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637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205A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FA18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26D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3AA9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FE17CA"/>
    <w:multiLevelType w:val="multilevel"/>
    <w:tmpl w:val="B2227A6A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>
      <w:start w:val="1"/>
      <w:numFmt w:val="decimal"/>
      <w:lvlText w:val="%2."/>
      <w:lvlJc w:val="left"/>
      <w:pPr>
        <w:ind w:left="1997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E2B7D70"/>
    <w:multiLevelType w:val="hybridMultilevel"/>
    <w:tmpl w:val="02048CDC"/>
    <w:lvl w:ilvl="0" w:tplc="4336C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34DF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FE9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07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F28D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426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EA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CBB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A1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72ACA"/>
    <w:multiLevelType w:val="hybridMultilevel"/>
    <w:tmpl w:val="6E5E72D4"/>
    <w:lvl w:ilvl="0" w:tplc="C78831EA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37AC17EA">
      <w:start w:val="1"/>
      <w:numFmt w:val="decimal"/>
      <w:lvlText w:val="%2."/>
      <w:lvlJc w:val="left"/>
      <w:pPr>
        <w:ind w:left="1999" w:hanging="570"/>
      </w:pPr>
      <w:rPr>
        <w:rFonts w:hint="default"/>
      </w:rPr>
    </w:lvl>
    <w:lvl w:ilvl="2" w:tplc="E7869642">
      <w:start w:val="1"/>
      <w:numFmt w:val="lowerRoman"/>
      <w:lvlText w:val="%3."/>
      <w:lvlJc w:val="right"/>
      <w:pPr>
        <w:ind w:left="2509" w:hanging="180"/>
      </w:pPr>
    </w:lvl>
    <w:lvl w:ilvl="3" w:tplc="092A09BE">
      <w:start w:val="1"/>
      <w:numFmt w:val="decimal"/>
      <w:lvlText w:val="%4."/>
      <w:lvlJc w:val="left"/>
      <w:pPr>
        <w:ind w:left="3229" w:hanging="360"/>
      </w:pPr>
    </w:lvl>
    <w:lvl w:ilvl="4" w:tplc="0C465B18">
      <w:start w:val="1"/>
      <w:numFmt w:val="lowerLetter"/>
      <w:lvlText w:val="%5."/>
      <w:lvlJc w:val="left"/>
      <w:pPr>
        <w:ind w:left="3949" w:hanging="360"/>
      </w:pPr>
    </w:lvl>
    <w:lvl w:ilvl="5" w:tplc="0CBCC682">
      <w:start w:val="1"/>
      <w:numFmt w:val="lowerRoman"/>
      <w:lvlText w:val="%6."/>
      <w:lvlJc w:val="right"/>
      <w:pPr>
        <w:ind w:left="4669" w:hanging="180"/>
      </w:pPr>
    </w:lvl>
    <w:lvl w:ilvl="6" w:tplc="053E93C2">
      <w:start w:val="1"/>
      <w:numFmt w:val="decimal"/>
      <w:lvlText w:val="%7."/>
      <w:lvlJc w:val="left"/>
      <w:pPr>
        <w:ind w:left="5389" w:hanging="360"/>
      </w:pPr>
    </w:lvl>
    <w:lvl w:ilvl="7" w:tplc="EA5A30B8">
      <w:start w:val="1"/>
      <w:numFmt w:val="lowerLetter"/>
      <w:lvlText w:val="%8."/>
      <w:lvlJc w:val="left"/>
      <w:pPr>
        <w:ind w:left="6109" w:hanging="360"/>
      </w:pPr>
    </w:lvl>
    <w:lvl w:ilvl="8" w:tplc="4C4C6AA6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96C70"/>
    <w:multiLevelType w:val="hybridMultilevel"/>
    <w:tmpl w:val="CB2E34B2"/>
    <w:lvl w:ilvl="0" w:tplc="05B435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43296B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17E6126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837A5220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E1EB9BE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49BE79F6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06AE222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536A640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5B6008A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24E0718"/>
    <w:multiLevelType w:val="hybridMultilevel"/>
    <w:tmpl w:val="A2E81E10"/>
    <w:lvl w:ilvl="0" w:tplc="BCF6C3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A5A7074">
      <w:start w:val="1"/>
      <w:numFmt w:val="lowerLetter"/>
      <w:lvlText w:val="%2."/>
      <w:lvlJc w:val="left"/>
      <w:pPr>
        <w:ind w:left="1440" w:hanging="360"/>
      </w:pPr>
    </w:lvl>
    <w:lvl w:ilvl="2" w:tplc="8B7A6CCE">
      <w:start w:val="1"/>
      <w:numFmt w:val="lowerRoman"/>
      <w:lvlText w:val="%3."/>
      <w:lvlJc w:val="right"/>
      <w:pPr>
        <w:ind w:left="2160" w:hanging="180"/>
      </w:pPr>
    </w:lvl>
    <w:lvl w:ilvl="3" w:tplc="85FC999A">
      <w:start w:val="1"/>
      <w:numFmt w:val="decimal"/>
      <w:lvlText w:val="%4."/>
      <w:lvlJc w:val="left"/>
      <w:pPr>
        <w:ind w:left="2880" w:hanging="360"/>
      </w:pPr>
    </w:lvl>
    <w:lvl w:ilvl="4" w:tplc="5824D4C6">
      <w:start w:val="1"/>
      <w:numFmt w:val="lowerLetter"/>
      <w:lvlText w:val="%5."/>
      <w:lvlJc w:val="left"/>
      <w:pPr>
        <w:ind w:left="3600" w:hanging="360"/>
      </w:pPr>
    </w:lvl>
    <w:lvl w:ilvl="5" w:tplc="42D8C3C0">
      <w:start w:val="1"/>
      <w:numFmt w:val="lowerRoman"/>
      <w:lvlText w:val="%6."/>
      <w:lvlJc w:val="right"/>
      <w:pPr>
        <w:ind w:left="4320" w:hanging="180"/>
      </w:pPr>
    </w:lvl>
    <w:lvl w:ilvl="6" w:tplc="39D055B0">
      <w:start w:val="1"/>
      <w:numFmt w:val="decimal"/>
      <w:lvlText w:val="%7."/>
      <w:lvlJc w:val="left"/>
      <w:pPr>
        <w:ind w:left="5040" w:hanging="360"/>
      </w:pPr>
    </w:lvl>
    <w:lvl w:ilvl="7" w:tplc="B4A0CD9E">
      <w:start w:val="1"/>
      <w:numFmt w:val="lowerLetter"/>
      <w:lvlText w:val="%8."/>
      <w:lvlJc w:val="left"/>
      <w:pPr>
        <w:ind w:left="5760" w:hanging="360"/>
      </w:pPr>
    </w:lvl>
    <w:lvl w:ilvl="8" w:tplc="D374BDD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B50DF"/>
    <w:multiLevelType w:val="hybridMultilevel"/>
    <w:tmpl w:val="836E7122"/>
    <w:lvl w:ilvl="0" w:tplc="C226CF0A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4E568DEC">
      <w:start w:val="1"/>
      <w:numFmt w:val="lowerLetter"/>
      <w:lvlText w:val="%2."/>
      <w:lvlJc w:val="left"/>
      <w:pPr>
        <w:ind w:left="1140" w:hanging="360"/>
      </w:pPr>
    </w:lvl>
    <w:lvl w:ilvl="2" w:tplc="3E70BF36">
      <w:start w:val="1"/>
      <w:numFmt w:val="lowerRoman"/>
      <w:lvlText w:val="%3."/>
      <w:lvlJc w:val="right"/>
      <w:pPr>
        <w:ind w:left="1860" w:hanging="180"/>
      </w:pPr>
    </w:lvl>
    <w:lvl w:ilvl="3" w:tplc="21ECE32A">
      <w:start w:val="1"/>
      <w:numFmt w:val="decimal"/>
      <w:lvlText w:val="%4."/>
      <w:lvlJc w:val="left"/>
      <w:pPr>
        <w:ind w:left="2580" w:hanging="360"/>
      </w:pPr>
    </w:lvl>
    <w:lvl w:ilvl="4" w:tplc="7BD29FE4">
      <w:start w:val="1"/>
      <w:numFmt w:val="lowerLetter"/>
      <w:lvlText w:val="%5."/>
      <w:lvlJc w:val="left"/>
      <w:pPr>
        <w:ind w:left="3300" w:hanging="360"/>
      </w:pPr>
    </w:lvl>
    <w:lvl w:ilvl="5" w:tplc="7D943A1C">
      <w:start w:val="1"/>
      <w:numFmt w:val="lowerRoman"/>
      <w:lvlText w:val="%6."/>
      <w:lvlJc w:val="right"/>
      <w:pPr>
        <w:ind w:left="4020" w:hanging="180"/>
      </w:pPr>
    </w:lvl>
    <w:lvl w:ilvl="6" w:tplc="9F68FCF6">
      <w:start w:val="1"/>
      <w:numFmt w:val="decimal"/>
      <w:lvlText w:val="%7."/>
      <w:lvlJc w:val="left"/>
      <w:pPr>
        <w:ind w:left="4740" w:hanging="360"/>
      </w:pPr>
    </w:lvl>
    <w:lvl w:ilvl="7" w:tplc="077A5612">
      <w:start w:val="1"/>
      <w:numFmt w:val="lowerLetter"/>
      <w:lvlText w:val="%8."/>
      <w:lvlJc w:val="left"/>
      <w:pPr>
        <w:ind w:left="5460" w:hanging="360"/>
      </w:pPr>
    </w:lvl>
    <w:lvl w:ilvl="8" w:tplc="409C1346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AA055E1"/>
    <w:multiLevelType w:val="hybridMultilevel"/>
    <w:tmpl w:val="DD20CE8E"/>
    <w:lvl w:ilvl="0" w:tplc="D5D87B12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C01EE998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F7562686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510C8A84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50D6B92A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AC41AE8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8D600978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C25A8FD8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DBA612F0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>
    <w:nsid w:val="3E12759B"/>
    <w:multiLevelType w:val="hybridMultilevel"/>
    <w:tmpl w:val="14320710"/>
    <w:lvl w:ilvl="0" w:tplc="4B243B0C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C742CA18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9738D0B8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D0EC65DA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FD2287EE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33CA3CD4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24FC6558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7B480A40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93B6301E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42404A6B"/>
    <w:multiLevelType w:val="hybridMultilevel"/>
    <w:tmpl w:val="67303CB8"/>
    <w:lvl w:ilvl="0" w:tplc="CF66158C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DA045394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BC14BD4C">
      <w:start w:val="1"/>
      <w:numFmt w:val="lowerRoman"/>
      <w:lvlText w:val="%3."/>
      <w:lvlJc w:val="right"/>
      <w:pPr>
        <w:ind w:left="2509" w:hanging="180"/>
      </w:pPr>
    </w:lvl>
    <w:lvl w:ilvl="3" w:tplc="A050A192">
      <w:start w:val="1"/>
      <w:numFmt w:val="decimal"/>
      <w:lvlText w:val="%4."/>
      <w:lvlJc w:val="left"/>
      <w:pPr>
        <w:ind w:left="3229" w:hanging="360"/>
      </w:pPr>
    </w:lvl>
    <w:lvl w:ilvl="4" w:tplc="035068B2">
      <w:start w:val="1"/>
      <w:numFmt w:val="lowerLetter"/>
      <w:lvlText w:val="%5."/>
      <w:lvlJc w:val="left"/>
      <w:pPr>
        <w:ind w:left="3949" w:hanging="360"/>
      </w:pPr>
    </w:lvl>
    <w:lvl w:ilvl="5" w:tplc="D2164BB6">
      <w:start w:val="1"/>
      <w:numFmt w:val="lowerRoman"/>
      <w:lvlText w:val="%6."/>
      <w:lvlJc w:val="right"/>
      <w:pPr>
        <w:ind w:left="4669" w:hanging="180"/>
      </w:pPr>
    </w:lvl>
    <w:lvl w:ilvl="6" w:tplc="0FCC75D2">
      <w:start w:val="1"/>
      <w:numFmt w:val="decimal"/>
      <w:lvlText w:val="%7."/>
      <w:lvlJc w:val="left"/>
      <w:pPr>
        <w:ind w:left="5389" w:hanging="360"/>
      </w:pPr>
    </w:lvl>
    <w:lvl w:ilvl="7" w:tplc="92AAF088">
      <w:start w:val="1"/>
      <w:numFmt w:val="lowerLetter"/>
      <w:lvlText w:val="%8."/>
      <w:lvlJc w:val="left"/>
      <w:pPr>
        <w:ind w:left="6109" w:hanging="360"/>
      </w:pPr>
    </w:lvl>
    <w:lvl w:ilvl="8" w:tplc="3D4C0B6E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63BF5"/>
    <w:multiLevelType w:val="hybridMultilevel"/>
    <w:tmpl w:val="B6CE6BB0"/>
    <w:lvl w:ilvl="0" w:tplc="AE662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6C2B4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3A4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86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495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FAB7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82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80B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6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F321F"/>
    <w:multiLevelType w:val="hybridMultilevel"/>
    <w:tmpl w:val="F4620BE8"/>
    <w:lvl w:ilvl="0" w:tplc="47167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3AE1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089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8C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06D8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9AA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BC9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8FB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2AF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8A3C37"/>
    <w:multiLevelType w:val="hybridMultilevel"/>
    <w:tmpl w:val="2CFAB8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E12BA"/>
    <w:multiLevelType w:val="hybridMultilevel"/>
    <w:tmpl w:val="5F56B964"/>
    <w:lvl w:ilvl="0" w:tplc="BD0AB9B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55F615A8">
      <w:start w:val="1"/>
      <w:numFmt w:val="decimal"/>
      <w:lvlText w:val="%2)"/>
      <w:lvlJc w:val="left"/>
      <w:pPr>
        <w:ind w:left="3338" w:hanging="360"/>
      </w:pPr>
      <w:rPr>
        <w:rFonts w:hint="default"/>
      </w:rPr>
    </w:lvl>
    <w:lvl w:ilvl="2" w:tplc="2B86328E">
      <w:start w:val="1"/>
      <w:numFmt w:val="decimal"/>
      <w:lvlText w:val="%3."/>
      <w:lvlJc w:val="left"/>
      <w:pPr>
        <w:ind w:left="4188" w:hanging="360"/>
      </w:pPr>
      <w:rPr>
        <w:rFonts w:hint="default"/>
      </w:rPr>
    </w:lvl>
    <w:lvl w:ilvl="3" w:tplc="C504C4CA">
      <w:start w:val="1"/>
      <w:numFmt w:val="decimal"/>
      <w:lvlText w:val="%4."/>
      <w:lvlJc w:val="left"/>
      <w:pPr>
        <w:ind w:left="3229" w:hanging="360"/>
      </w:pPr>
    </w:lvl>
    <w:lvl w:ilvl="4" w:tplc="29F64BEA">
      <w:start w:val="1"/>
      <w:numFmt w:val="lowerLetter"/>
      <w:lvlText w:val="%5."/>
      <w:lvlJc w:val="left"/>
      <w:pPr>
        <w:ind w:left="3949" w:hanging="360"/>
      </w:pPr>
    </w:lvl>
    <w:lvl w:ilvl="5" w:tplc="BA6EBD42">
      <w:start w:val="1"/>
      <w:numFmt w:val="lowerRoman"/>
      <w:lvlText w:val="%6."/>
      <w:lvlJc w:val="right"/>
      <w:pPr>
        <w:ind w:left="4669" w:hanging="180"/>
      </w:pPr>
    </w:lvl>
    <w:lvl w:ilvl="6" w:tplc="116497E0">
      <w:start w:val="1"/>
      <w:numFmt w:val="decimal"/>
      <w:lvlText w:val="%7."/>
      <w:lvlJc w:val="left"/>
      <w:pPr>
        <w:ind w:left="5389" w:hanging="360"/>
      </w:pPr>
    </w:lvl>
    <w:lvl w:ilvl="7" w:tplc="E2FCA138">
      <w:start w:val="1"/>
      <w:numFmt w:val="lowerLetter"/>
      <w:lvlText w:val="%8."/>
      <w:lvlJc w:val="left"/>
      <w:pPr>
        <w:ind w:left="6109" w:hanging="360"/>
      </w:pPr>
    </w:lvl>
    <w:lvl w:ilvl="8" w:tplc="8B443242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8170AA"/>
    <w:multiLevelType w:val="hybridMultilevel"/>
    <w:tmpl w:val="3E8E51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963F0"/>
    <w:multiLevelType w:val="hybridMultilevel"/>
    <w:tmpl w:val="519E7CF8"/>
    <w:lvl w:ilvl="0" w:tplc="D5281C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673CD65C">
      <w:start w:val="1"/>
      <w:numFmt w:val="lowerLetter"/>
      <w:lvlText w:val="%2."/>
      <w:lvlJc w:val="left"/>
      <w:pPr>
        <w:ind w:left="1440" w:hanging="360"/>
      </w:pPr>
    </w:lvl>
    <w:lvl w:ilvl="2" w:tplc="13142D70">
      <w:start w:val="1"/>
      <w:numFmt w:val="lowerRoman"/>
      <w:lvlText w:val="%3."/>
      <w:lvlJc w:val="right"/>
      <w:pPr>
        <w:ind w:left="2160" w:hanging="180"/>
      </w:pPr>
    </w:lvl>
    <w:lvl w:ilvl="3" w:tplc="72FA4CBC">
      <w:start w:val="1"/>
      <w:numFmt w:val="decimal"/>
      <w:lvlText w:val="%4."/>
      <w:lvlJc w:val="left"/>
      <w:pPr>
        <w:ind w:left="2880" w:hanging="360"/>
      </w:pPr>
    </w:lvl>
    <w:lvl w:ilvl="4" w:tplc="29A29A4C">
      <w:start w:val="1"/>
      <w:numFmt w:val="lowerLetter"/>
      <w:lvlText w:val="%5."/>
      <w:lvlJc w:val="left"/>
      <w:pPr>
        <w:ind w:left="3600" w:hanging="360"/>
      </w:pPr>
    </w:lvl>
    <w:lvl w:ilvl="5" w:tplc="DD3268C8">
      <w:start w:val="1"/>
      <w:numFmt w:val="lowerRoman"/>
      <w:lvlText w:val="%6."/>
      <w:lvlJc w:val="right"/>
      <w:pPr>
        <w:ind w:left="4320" w:hanging="180"/>
      </w:pPr>
    </w:lvl>
    <w:lvl w:ilvl="6" w:tplc="51E64DB2">
      <w:start w:val="1"/>
      <w:numFmt w:val="decimal"/>
      <w:lvlText w:val="%7."/>
      <w:lvlJc w:val="left"/>
      <w:pPr>
        <w:ind w:left="5040" w:hanging="360"/>
      </w:pPr>
    </w:lvl>
    <w:lvl w:ilvl="7" w:tplc="158E5906">
      <w:start w:val="1"/>
      <w:numFmt w:val="lowerLetter"/>
      <w:lvlText w:val="%8."/>
      <w:lvlJc w:val="left"/>
      <w:pPr>
        <w:ind w:left="5760" w:hanging="360"/>
      </w:pPr>
    </w:lvl>
    <w:lvl w:ilvl="8" w:tplc="A052D37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A64E57"/>
    <w:multiLevelType w:val="hybridMultilevel"/>
    <w:tmpl w:val="397EECEC"/>
    <w:lvl w:ilvl="0" w:tplc="A6941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0C883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DE5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64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6C0E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744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227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401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487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2"/>
  </w:num>
  <w:num w:numId="8">
    <w:abstractNumId w:val="9"/>
  </w:num>
  <w:num w:numId="9">
    <w:abstractNumId w:val="11"/>
  </w:num>
  <w:num w:numId="10">
    <w:abstractNumId w:val="0"/>
  </w:num>
  <w:num w:numId="11">
    <w:abstractNumId w:val="6"/>
  </w:num>
  <w:num w:numId="12">
    <w:abstractNumId w:val="16"/>
  </w:num>
  <w:num w:numId="13">
    <w:abstractNumId w:val="7"/>
  </w:num>
  <w:num w:numId="14">
    <w:abstractNumId w:val="3"/>
  </w:num>
  <w:num w:numId="15">
    <w:abstractNumId w:val="17"/>
  </w:num>
  <w:num w:numId="16">
    <w:abstractNumId w:val="10"/>
  </w:num>
  <w:num w:numId="17">
    <w:abstractNumId w:val="8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D72"/>
    <w:rsid w:val="00155858"/>
    <w:rsid w:val="002C3447"/>
    <w:rsid w:val="002C4F87"/>
    <w:rsid w:val="00322D72"/>
    <w:rsid w:val="003C34B5"/>
    <w:rsid w:val="003F62A7"/>
    <w:rsid w:val="00430B59"/>
    <w:rsid w:val="00496759"/>
    <w:rsid w:val="004B6269"/>
    <w:rsid w:val="004F75F9"/>
    <w:rsid w:val="00500EE3"/>
    <w:rsid w:val="00502F06"/>
    <w:rsid w:val="00577D58"/>
    <w:rsid w:val="005F234F"/>
    <w:rsid w:val="006139B7"/>
    <w:rsid w:val="0064479B"/>
    <w:rsid w:val="006A12C2"/>
    <w:rsid w:val="00742F72"/>
    <w:rsid w:val="00786CB7"/>
    <w:rsid w:val="007957CF"/>
    <w:rsid w:val="007A2A50"/>
    <w:rsid w:val="008B4DFE"/>
    <w:rsid w:val="008D0F7E"/>
    <w:rsid w:val="009372B1"/>
    <w:rsid w:val="009D1EA5"/>
    <w:rsid w:val="00A4601D"/>
    <w:rsid w:val="00A74701"/>
    <w:rsid w:val="00AC0866"/>
    <w:rsid w:val="00AF0838"/>
    <w:rsid w:val="00AF3076"/>
    <w:rsid w:val="00AF640E"/>
    <w:rsid w:val="00B775DD"/>
    <w:rsid w:val="00BC7E1A"/>
    <w:rsid w:val="00C92427"/>
    <w:rsid w:val="00CA27B2"/>
    <w:rsid w:val="00CC6EE2"/>
    <w:rsid w:val="00CF6A2D"/>
    <w:rsid w:val="00D92382"/>
    <w:rsid w:val="00E47EA2"/>
    <w:rsid w:val="00E80A55"/>
    <w:rsid w:val="00F13520"/>
    <w:rsid w:val="00FC6CE3"/>
    <w:rsid w:val="00FF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470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7470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74701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7470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7470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A7470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7470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7470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7470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70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7470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7470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7470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7470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7470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7470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7470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7470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74701"/>
  </w:style>
  <w:style w:type="paragraph" w:styleId="a4">
    <w:name w:val="Title"/>
    <w:basedOn w:val="a"/>
    <w:next w:val="a"/>
    <w:link w:val="a5"/>
    <w:uiPriority w:val="10"/>
    <w:qFormat/>
    <w:rsid w:val="00A7470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7470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74701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A7470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7470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7470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7470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74701"/>
    <w:rPr>
      <w:i/>
    </w:rPr>
  </w:style>
  <w:style w:type="paragraph" w:styleId="aa">
    <w:name w:val="header"/>
    <w:basedOn w:val="a"/>
    <w:link w:val="ab"/>
    <w:uiPriority w:val="99"/>
    <w:unhideWhenUsed/>
    <w:rsid w:val="00A74701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4701"/>
  </w:style>
  <w:style w:type="paragraph" w:styleId="ac">
    <w:name w:val="footer"/>
    <w:basedOn w:val="a"/>
    <w:link w:val="ad"/>
    <w:uiPriority w:val="99"/>
    <w:unhideWhenUsed/>
    <w:rsid w:val="00A7470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74701"/>
  </w:style>
  <w:style w:type="paragraph" w:styleId="ae">
    <w:name w:val="caption"/>
    <w:basedOn w:val="a"/>
    <w:next w:val="a"/>
    <w:uiPriority w:val="35"/>
    <w:semiHidden/>
    <w:unhideWhenUsed/>
    <w:qFormat/>
    <w:rsid w:val="00A7470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A74701"/>
  </w:style>
  <w:style w:type="table" w:customStyle="1" w:styleId="TableGridLight">
    <w:name w:val="Table Grid Light"/>
    <w:basedOn w:val="a1"/>
    <w:uiPriority w:val="59"/>
    <w:rsid w:val="00A7470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7470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7470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7470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7470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7470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7470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7470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7470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7470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7470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747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7470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7470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7470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7470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7470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7470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7470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7470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7470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A74701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A74701"/>
    <w:rPr>
      <w:sz w:val="18"/>
    </w:rPr>
  </w:style>
  <w:style w:type="character" w:styleId="af1">
    <w:name w:val="footnote reference"/>
    <w:basedOn w:val="a0"/>
    <w:uiPriority w:val="99"/>
    <w:unhideWhenUsed/>
    <w:rsid w:val="00A74701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A74701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A74701"/>
    <w:rPr>
      <w:sz w:val="20"/>
    </w:rPr>
  </w:style>
  <w:style w:type="character" w:styleId="af4">
    <w:name w:val="endnote reference"/>
    <w:basedOn w:val="a0"/>
    <w:uiPriority w:val="99"/>
    <w:semiHidden/>
    <w:unhideWhenUsed/>
    <w:rsid w:val="00A7470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74701"/>
    <w:pPr>
      <w:spacing w:after="57"/>
    </w:pPr>
  </w:style>
  <w:style w:type="paragraph" w:styleId="23">
    <w:name w:val="toc 2"/>
    <w:basedOn w:val="a"/>
    <w:next w:val="a"/>
    <w:uiPriority w:val="39"/>
    <w:unhideWhenUsed/>
    <w:rsid w:val="00A7470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7470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7470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7470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7470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7470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7470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74701"/>
    <w:pPr>
      <w:spacing w:after="57"/>
      <w:ind w:left="2268"/>
    </w:pPr>
  </w:style>
  <w:style w:type="paragraph" w:styleId="af5">
    <w:name w:val="TOC Heading"/>
    <w:uiPriority w:val="39"/>
    <w:unhideWhenUsed/>
    <w:rsid w:val="00A74701"/>
  </w:style>
  <w:style w:type="paragraph" w:styleId="af6">
    <w:name w:val="table of figures"/>
    <w:basedOn w:val="a"/>
    <w:next w:val="a"/>
    <w:uiPriority w:val="99"/>
    <w:unhideWhenUsed/>
    <w:rsid w:val="00A74701"/>
  </w:style>
  <w:style w:type="paragraph" w:styleId="af7">
    <w:name w:val="Body Text Indent"/>
    <w:basedOn w:val="a"/>
    <w:rsid w:val="00A74701"/>
    <w:pPr>
      <w:ind w:firstLine="720"/>
    </w:pPr>
    <w:rPr>
      <w:sz w:val="28"/>
    </w:rPr>
  </w:style>
  <w:style w:type="table" w:styleId="af8">
    <w:name w:val="Table Grid"/>
    <w:basedOn w:val="a1"/>
    <w:uiPriority w:val="39"/>
    <w:rsid w:val="00A747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rsid w:val="00A74701"/>
    <w:rPr>
      <w:color w:val="0192B5"/>
      <w:u w:val="single"/>
    </w:rPr>
  </w:style>
  <w:style w:type="paragraph" w:styleId="afa">
    <w:name w:val="Balloon Text"/>
    <w:basedOn w:val="a"/>
    <w:link w:val="afb"/>
    <w:rsid w:val="00A74701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A74701"/>
    <w:rPr>
      <w:rFonts w:ascii="Tahoma" w:hAnsi="Tahoma" w:cs="Tahoma"/>
      <w:sz w:val="16"/>
      <w:szCs w:val="16"/>
    </w:rPr>
  </w:style>
  <w:style w:type="paragraph" w:styleId="afc">
    <w:name w:val="Normal (Web)"/>
    <w:basedOn w:val="a"/>
    <w:uiPriority w:val="99"/>
    <w:rsid w:val="00A74701"/>
    <w:pPr>
      <w:spacing w:before="100" w:beforeAutospacing="1" w:after="100" w:afterAutospacing="1"/>
    </w:pPr>
  </w:style>
  <w:style w:type="paragraph" w:styleId="afd">
    <w:name w:val="List Paragraph"/>
    <w:basedOn w:val="a"/>
    <w:uiPriority w:val="34"/>
    <w:qFormat/>
    <w:rsid w:val="00A747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8C5F9-71FF-4989-88C3-6C6C4A00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2703</Words>
  <Characters>15412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2</cp:revision>
  <cp:lastPrinted>2024-11-29T07:25:00Z</cp:lastPrinted>
  <dcterms:created xsi:type="dcterms:W3CDTF">2024-11-29T07:27:00Z</dcterms:created>
  <dcterms:modified xsi:type="dcterms:W3CDTF">2024-11-29T07:27:00Z</dcterms:modified>
</cp:coreProperties>
</file>