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помещения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64:43:000000:1263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141/2, в качестве его правообладателя, владеющего данным объектом недвижимости на праве собственности, выявлен Комков Александр Митрофанович,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11.02.2022 г. № 06.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№06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11.02.2022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15:40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64:43:000000:1263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141/2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64:43:020141:3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 Красноармейск, ул Советская, д 141, кв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11.02.2022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141/2)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