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B" w:rsidRDefault="00757B8B" w:rsidP="00757B8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8B" w:rsidRDefault="00757B8B" w:rsidP="00757B8B">
      <w:pPr>
        <w:jc w:val="center"/>
        <w:rPr>
          <w:sz w:val="28"/>
        </w:rPr>
      </w:pPr>
    </w:p>
    <w:p w:rsidR="00757B8B" w:rsidRPr="007B0983" w:rsidRDefault="00757B8B" w:rsidP="00757B8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57B8B" w:rsidRPr="007B0983" w:rsidRDefault="00757B8B" w:rsidP="00757B8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57B8B" w:rsidRPr="007B0983" w:rsidRDefault="00757B8B" w:rsidP="00757B8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757B8B" w:rsidRPr="007B0983" w:rsidRDefault="00757B8B" w:rsidP="00757B8B">
      <w:pPr>
        <w:jc w:val="center"/>
        <w:rPr>
          <w:b/>
          <w:bCs/>
          <w:sz w:val="28"/>
          <w:szCs w:val="28"/>
        </w:rPr>
      </w:pPr>
    </w:p>
    <w:p w:rsidR="00757B8B" w:rsidRPr="007B0983" w:rsidRDefault="00757B8B" w:rsidP="00757B8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757B8B" w:rsidTr="00757B8B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57B8B" w:rsidRDefault="00757B8B" w:rsidP="00207AB1">
            <w:pPr>
              <w:jc w:val="center"/>
            </w:pPr>
          </w:p>
          <w:p w:rsidR="00757B8B" w:rsidRDefault="00757B8B" w:rsidP="00207AB1">
            <w:pPr>
              <w:jc w:val="center"/>
            </w:pPr>
          </w:p>
          <w:p w:rsidR="00757B8B" w:rsidRDefault="00757B8B" w:rsidP="00207AB1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757B8B" w:rsidRPr="004A446F" w:rsidRDefault="00757B8B" w:rsidP="0020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 2020г.</w:t>
            </w:r>
          </w:p>
        </w:tc>
        <w:tc>
          <w:tcPr>
            <w:tcW w:w="537" w:type="dxa"/>
            <w:vMerge w:val="restart"/>
            <w:vAlign w:val="bottom"/>
          </w:tcPr>
          <w:p w:rsidR="00757B8B" w:rsidRPr="004A446F" w:rsidRDefault="00757B8B" w:rsidP="00207AB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57B8B" w:rsidRPr="004A446F" w:rsidRDefault="00757B8B" w:rsidP="00757B8B">
            <w:pPr>
              <w:ind w:right="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757B8B" w:rsidTr="00757B8B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57B8B" w:rsidRDefault="00757B8B" w:rsidP="00207AB1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757B8B" w:rsidRDefault="00757B8B" w:rsidP="00207AB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57B8B" w:rsidRDefault="00757B8B" w:rsidP="00207AB1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57B8B" w:rsidRDefault="00757B8B" w:rsidP="00207AB1">
            <w:pPr>
              <w:jc w:val="center"/>
            </w:pPr>
          </w:p>
        </w:tc>
      </w:tr>
      <w:tr w:rsidR="00757B8B" w:rsidTr="00757B8B">
        <w:trPr>
          <w:cantSplit/>
          <w:trHeight w:val="135"/>
        </w:trPr>
        <w:tc>
          <w:tcPr>
            <w:tcW w:w="536" w:type="dxa"/>
          </w:tcPr>
          <w:p w:rsidR="00757B8B" w:rsidRDefault="00757B8B" w:rsidP="00207AB1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757B8B" w:rsidRDefault="00757B8B" w:rsidP="00207AB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57B8B" w:rsidRDefault="00757B8B" w:rsidP="00207AB1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57B8B" w:rsidRDefault="00757B8B" w:rsidP="00207AB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57B8B" w:rsidRPr="004147CC" w:rsidRDefault="00757B8B" w:rsidP="00757B8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57B8B" w:rsidRDefault="00757B8B" w:rsidP="00757B8B">
      <w:pPr>
        <w:ind w:right="4110"/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 xml:space="preserve">О внесении изменений в муниципальную </w:t>
      </w:r>
      <w:r>
        <w:rPr>
          <w:sz w:val="28"/>
          <w:szCs w:val="28"/>
          <w:lang w:eastAsia="ar-SA"/>
        </w:rPr>
        <w:t xml:space="preserve"> </w:t>
      </w:r>
      <w:r w:rsidRPr="00246560">
        <w:rPr>
          <w:sz w:val="28"/>
          <w:szCs w:val="28"/>
          <w:lang w:eastAsia="ar-SA"/>
        </w:rPr>
        <w:t>программу «Развитие культуры Красноармейско</w:t>
      </w:r>
      <w:r>
        <w:rPr>
          <w:sz w:val="28"/>
          <w:szCs w:val="28"/>
          <w:lang w:eastAsia="ar-SA"/>
        </w:rPr>
        <w:t>го муниципального  района на 2020</w:t>
      </w:r>
      <w:r w:rsidRPr="0024656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2022</w:t>
      </w:r>
      <w:r w:rsidRPr="00246560">
        <w:rPr>
          <w:sz w:val="28"/>
          <w:szCs w:val="28"/>
          <w:lang w:eastAsia="ar-SA"/>
        </w:rPr>
        <w:t xml:space="preserve"> годы», утвержденную постановлением администрации Красноармейского муниципального района от </w:t>
      </w:r>
      <w:r w:rsidRPr="001305E6">
        <w:rPr>
          <w:sz w:val="28"/>
          <w:szCs w:val="28"/>
          <w:lang w:eastAsia="ar-SA"/>
        </w:rPr>
        <w:t>01.07.2019</w:t>
      </w:r>
      <w:r>
        <w:rPr>
          <w:sz w:val="28"/>
          <w:szCs w:val="28"/>
          <w:lang w:eastAsia="ar-SA"/>
        </w:rPr>
        <w:t xml:space="preserve"> №</w:t>
      </w:r>
      <w:r w:rsidRPr="001305E6">
        <w:rPr>
          <w:sz w:val="28"/>
          <w:szCs w:val="28"/>
          <w:lang w:eastAsia="ar-SA"/>
        </w:rPr>
        <w:t>476</w:t>
      </w:r>
    </w:p>
    <w:p w:rsidR="00757B8B" w:rsidRPr="003C693D" w:rsidRDefault="00757B8B" w:rsidP="00757B8B">
      <w:pPr>
        <w:jc w:val="both"/>
        <w:rPr>
          <w:sz w:val="28"/>
          <w:szCs w:val="28"/>
        </w:rPr>
      </w:pPr>
    </w:p>
    <w:p w:rsidR="00757B8B" w:rsidRPr="00246560" w:rsidRDefault="00757B8B" w:rsidP="00757B8B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246560">
        <w:rPr>
          <w:sz w:val="28"/>
          <w:szCs w:val="28"/>
        </w:rPr>
        <w:t xml:space="preserve"> 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района,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757B8B" w:rsidRPr="001305E6" w:rsidRDefault="00757B8B" w:rsidP="00757B8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757B8B">
        <w:rPr>
          <w:sz w:val="28"/>
          <w:szCs w:val="28"/>
        </w:rPr>
        <w:t xml:space="preserve">Внести     изменения    в     муниципальную      программу    «Развитие </w:t>
      </w:r>
      <w:r w:rsidRPr="00246560">
        <w:rPr>
          <w:sz w:val="28"/>
          <w:szCs w:val="28"/>
        </w:rPr>
        <w:t>культуры Красноармейског</w:t>
      </w:r>
      <w:r>
        <w:rPr>
          <w:sz w:val="28"/>
          <w:szCs w:val="28"/>
        </w:rPr>
        <w:t>о муниципального  района на 2020-2022</w:t>
      </w:r>
      <w:r w:rsidRPr="00246560">
        <w:rPr>
          <w:sz w:val="28"/>
          <w:szCs w:val="28"/>
        </w:rPr>
        <w:t xml:space="preserve"> годы», утвержденную постановлением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Pr="00246560">
        <w:rPr>
          <w:sz w:val="28"/>
          <w:szCs w:val="28"/>
        </w:rPr>
        <w:t xml:space="preserve"> </w:t>
      </w:r>
      <w:r>
        <w:rPr>
          <w:sz w:val="28"/>
          <w:szCs w:val="28"/>
        </w:rPr>
        <w:t>01.07.2019</w:t>
      </w:r>
      <w:r w:rsidR="009A17D1">
        <w:rPr>
          <w:sz w:val="28"/>
          <w:szCs w:val="28"/>
        </w:rPr>
        <w:t>г.</w:t>
      </w:r>
      <w:r>
        <w:rPr>
          <w:sz w:val="28"/>
          <w:szCs w:val="28"/>
        </w:rPr>
        <w:t xml:space="preserve"> №476 </w:t>
      </w:r>
      <w:r w:rsidRPr="00F378E7">
        <w:t xml:space="preserve"> </w:t>
      </w:r>
      <w:r>
        <w:rPr>
          <w:sz w:val="28"/>
          <w:szCs w:val="28"/>
        </w:rPr>
        <w:t>(с учетом изменений от 26.09.2019 года  №744, от 13.01.2020 года №09, от 05.03.</w:t>
      </w:r>
      <w:r w:rsidRPr="006307F6">
        <w:rPr>
          <w:sz w:val="28"/>
          <w:szCs w:val="28"/>
        </w:rPr>
        <w:t>2020 года №160</w:t>
      </w:r>
      <w:r>
        <w:rPr>
          <w:sz w:val="28"/>
          <w:szCs w:val="28"/>
        </w:rPr>
        <w:t>, от 07.05.2020 года №300), согласно приложению</w:t>
      </w:r>
      <w:r w:rsidRPr="001305E6">
        <w:rPr>
          <w:sz w:val="28"/>
          <w:szCs w:val="28"/>
        </w:rPr>
        <w:t>.</w:t>
      </w:r>
    </w:p>
    <w:p w:rsidR="00757B8B" w:rsidRDefault="00757B8B" w:rsidP="00757B8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2. </w:t>
      </w:r>
      <w:r w:rsidRPr="00FD6D54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 xml:space="preserve">контрольному отделу администрации Красноармейского муниципального района  опубликовать    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формационно-телекоммуникац</w:t>
      </w:r>
      <w:r>
        <w:rPr>
          <w:sz w:val="28"/>
          <w:szCs w:val="28"/>
        </w:rPr>
        <w:t>ионной сети «Интернет»</w:t>
      </w:r>
      <w:r w:rsidR="00DA1797">
        <w:rPr>
          <w:sz w:val="28"/>
          <w:szCs w:val="28"/>
        </w:rPr>
        <w:t>.</w:t>
      </w:r>
    </w:p>
    <w:p w:rsidR="00757B8B" w:rsidRPr="003C693D" w:rsidRDefault="00757B8B" w:rsidP="00757B8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момента его официального опубликования (обнародования).</w:t>
      </w:r>
    </w:p>
    <w:p w:rsidR="00757B8B" w:rsidRDefault="00757B8B" w:rsidP="00757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57B8B" w:rsidRPr="003C693D" w:rsidRDefault="00757B8B" w:rsidP="00757B8B">
      <w:pPr>
        <w:rPr>
          <w:sz w:val="28"/>
          <w:szCs w:val="28"/>
        </w:rPr>
      </w:pPr>
    </w:p>
    <w:p w:rsidR="00757B8B" w:rsidRPr="003C693D" w:rsidRDefault="00757B8B" w:rsidP="00757B8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757B8B" w:rsidRPr="003C693D" w:rsidRDefault="00757B8B" w:rsidP="00757B8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57B8B" w:rsidRDefault="00757B8B" w:rsidP="00757B8B">
      <w:pPr>
        <w:rPr>
          <w:rFonts w:eastAsia="Calibri"/>
        </w:rPr>
        <w:sectPr w:rsidR="00757B8B" w:rsidSect="00DE4F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3CE9" w:rsidRPr="00BB3CE9" w:rsidRDefault="00BB3CE9" w:rsidP="00BB3CE9">
      <w:pPr>
        <w:ind w:left="10490"/>
        <w:jc w:val="both"/>
        <w:rPr>
          <w:rFonts w:eastAsia="Calibri"/>
          <w:sz w:val="28"/>
          <w:szCs w:val="28"/>
        </w:rPr>
      </w:pPr>
      <w:r w:rsidRPr="00BB3CE9">
        <w:rPr>
          <w:rFonts w:eastAsia="Calibri"/>
          <w:sz w:val="28"/>
          <w:szCs w:val="28"/>
        </w:rPr>
        <w:lastRenderedPageBreak/>
        <w:t>Приложение</w:t>
      </w:r>
    </w:p>
    <w:p w:rsidR="00BB3CE9" w:rsidRPr="00BB3CE9" w:rsidRDefault="00BB3CE9" w:rsidP="00BB3CE9">
      <w:pPr>
        <w:ind w:left="10490"/>
        <w:jc w:val="both"/>
        <w:rPr>
          <w:rFonts w:eastAsia="Calibri"/>
          <w:sz w:val="28"/>
          <w:szCs w:val="28"/>
        </w:rPr>
      </w:pPr>
      <w:r w:rsidRPr="00BB3CE9">
        <w:rPr>
          <w:rFonts w:eastAsia="Calibri"/>
          <w:sz w:val="28"/>
          <w:szCs w:val="28"/>
        </w:rPr>
        <w:t>к постановлению администрации</w:t>
      </w:r>
    </w:p>
    <w:p w:rsidR="00BB3CE9" w:rsidRPr="00BB3CE9" w:rsidRDefault="00BB3CE9" w:rsidP="00BB3CE9">
      <w:pPr>
        <w:ind w:left="10490"/>
        <w:jc w:val="both"/>
        <w:rPr>
          <w:rFonts w:eastAsia="Calibri"/>
          <w:sz w:val="28"/>
          <w:szCs w:val="28"/>
        </w:rPr>
      </w:pPr>
      <w:r w:rsidRPr="00BB3CE9">
        <w:rPr>
          <w:rFonts w:eastAsia="Calibri"/>
          <w:sz w:val="28"/>
          <w:szCs w:val="28"/>
        </w:rPr>
        <w:t>Красноармейского</w:t>
      </w:r>
    </w:p>
    <w:p w:rsidR="00BB3CE9" w:rsidRPr="00BB3CE9" w:rsidRDefault="00BB3CE9" w:rsidP="00BB3CE9">
      <w:pPr>
        <w:ind w:left="10490"/>
        <w:jc w:val="both"/>
        <w:rPr>
          <w:rFonts w:eastAsia="Calibri"/>
          <w:sz w:val="28"/>
          <w:szCs w:val="28"/>
        </w:rPr>
      </w:pPr>
      <w:r w:rsidRPr="00BB3CE9">
        <w:rPr>
          <w:rFonts w:eastAsia="Calibri"/>
          <w:sz w:val="28"/>
          <w:szCs w:val="28"/>
        </w:rPr>
        <w:t>муниципального района</w:t>
      </w:r>
    </w:p>
    <w:p w:rsidR="00757B8B" w:rsidRPr="00BB3CE9" w:rsidRDefault="00BB3CE9" w:rsidP="00BB3CE9">
      <w:pPr>
        <w:ind w:left="10490"/>
        <w:jc w:val="both"/>
        <w:rPr>
          <w:rFonts w:eastAsia="Calibri"/>
          <w:sz w:val="28"/>
          <w:szCs w:val="28"/>
        </w:rPr>
      </w:pPr>
      <w:r w:rsidRPr="00BB3CE9">
        <w:rPr>
          <w:rFonts w:eastAsia="Calibri"/>
          <w:sz w:val="28"/>
          <w:szCs w:val="28"/>
        </w:rPr>
        <w:t xml:space="preserve">от 26.05.2020г. </w:t>
      </w:r>
      <w:r w:rsidR="00757B8B" w:rsidRPr="00BB3CE9">
        <w:rPr>
          <w:rFonts w:eastAsia="Calibri"/>
          <w:sz w:val="28"/>
          <w:szCs w:val="28"/>
        </w:rPr>
        <w:t>№ 326</w:t>
      </w:r>
    </w:p>
    <w:p w:rsidR="00757B8B" w:rsidRDefault="00757B8B" w:rsidP="00757B8B">
      <w:pPr>
        <w:ind w:left="10490"/>
        <w:jc w:val="both"/>
        <w:rPr>
          <w:rFonts w:eastAsia="Calibri"/>
          <w:sz w:val="28"/>
          <w:szCs w:val="28"/>
        </w:rPr>
      </w:pPr>
    </w:p>
    <w:p w:rsidR="00757B8B" w:rsidRPr="00757B8B" w:rsidRDefault="00757B8B" w:rsidP="00757B8B">
      <w:pPr>
        <w:ind w:left="10490"/>
        <w:jc w:val="both"/>
        <w:rPr>
          <w:rFonts w:eastAsia="Calibri"/>
          <w:sz w:val="28"/>
          <w:szCs w:val="28"/>
        </w:rPr>
      </w:pPr>
    </w:p>
    <w:p w:rsidR="00757B8B" w:rsidRPr="00786C6B" w:rsidRDefault="00757B8B" w:rsidP="00757B8B">
      <w:pPr>
        <w:ind w:left="708"/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Изменения, вносимые в муниципальную программу</w:t>
      </w:r>
    </w:p>
    <w:p w:rsidR="00757B8B" w:rsidRPr="00786C6B" w:rsidRDefault="00757B8B" w:rsidP="00757B8B">
      <w:pPr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«Развитие культуры Красноармейского муниципального  района на 2020-2022 годы»</w:t>
      </w:r>
    </w:p>
    <w:p w:rsidR="00757B8B" w:rsidRPr="00786C6B" w:rsidRDefault="00757B8B" w:rsidP="00757B8B">
      <w:pPr>
        <w:rPr>
          <w:rFonts w:eastAsia="Calibri"/>
          <w:sz w:val="28"/>
          <w:szCs w:val="28"/>
        </w:rPr>
      </w:pPr>
    </w:p>
    <w:p w:rsidR="00757B8B" w:rsidRPr="00786C6B" w:rsidRDefault="00757B8B" w:rsidP="00757B8B">
      <w:pPr>
        <w:numPr>
          <w:ilvl w:val="0"/>
          <w:numId w:val="1"/>
        </w:numPr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В паспорте муниципальной программы:</w:t>
      </w:r>
    </w:p>
    <w:p w:rsidR="00757B8B" w:rsidRDefault="00757B8B" w:rsidP="00757B8B">
      <w:pPr>
        <w:ind w:left="720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757B8B" w:rsidRPr="00786C6B" w:rsidRDefault="00757B8B" w:rsidP="00757B8B">
      <w:pPr>
        <w:ind w:left="720"/>
        <w:rPr>
          <w:rFonts w:eastAsia="Calibri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126"/>
        <w:gridCol w:w="2552"/>
        <w:gridCol w:w="2835"/>
        <w:gridCol w:w="3402"/>
      </w:tblGrid>
      <w:tr w:rsidR="00757B8B" w:rsidRPr="00B64BAB" w:rsidTr="00207AB1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8B" w:rsidRPr="003A7E6E" w:rsidRDefault="00757B8B" w:rsidP="0020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8B" w:rsidRPr="003A7E6E" w:rsidRDefault="00757B8B" w:rsidP="00207A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расходы (тыс. руб.)</w:t>
            </w:r>
          </w:p>
        </w:tc>
      </w:tr>
      <w:tr w:rsidR="00BB3CE9" w:rsidRPr="00B64BAB" w:rsidTr="00207AB1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207A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первый год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7E6E">
              <w:t>третий год реализации программы</w:t>
            </w:r>
          </w:p>
        </w:tc>
      </w:tr>
      <w:tr w:rsidR="00BB3CE9" w:rsidRPr="00B64BAB" w:rsidTr="00207AB1">
        <w:trPr>
          <w:trHeight w:val="27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20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30B22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171811,1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FE686D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86D">
              <w:t>62058,1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54032,4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55720,6</w:t>
            </w:r>
          </w:p>
        </w:tc>
      </w:tr>
      <w:tr w:rsidR="00BB3CE9" w:rsidRPr="00B64BAB" w:rsidTr="00207AB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20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федеральный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D4CA4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FE686D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86D">
              <w:t>2961,6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</w:tr>
      <w:tr w:rsidR="00BB3CE9" w:rsidRPr="00B64BAB" w:rsidTr="00207AB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20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областной бюджет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D4CA4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D4CA4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17588,6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16323,4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19404,3</w:t>
            </w:r>
          </w:p>
        </w:tc>
      </w:tr>
      <w:tr w:rsidR="00BB3CE9" w:rsidRPr="00B64BAB" w:rsidTr="00207AB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3A7E6E" w:rsidRDefault="00BB3CE9" w:rsidP="00207AB1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внебюджетные источники (прогнозно)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3415,0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794,0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1000,0</w:t>
            </w:r>
          </w:p>
        </w:tc>
      </w:tr>
    </w:tbl>
    <w:p w:rsidR="00757B8B" w:rsidRDefault="00757B8B" w:rsidP="00757B8B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757B8B" w:rsidRPr="00786C6B" w:rsidRDefault="00757B8B" w:rsidP="00757B8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786C6B">
        <w:rPr>
          <w:bCs/>
          <w:color w:val="26282F"/>
          <w:sz w:val="28"/>
          <w:szCs w:val="28"/>
        </w:rPr>
        <w:t>- позицию «Целевые показатели муниципальной программы (индикаторы)»</w:t>
      </w:r>
      <w:r w:rsidR="009A17D1">
        <w:rPr>
          <w:bCs/>
          <w:color w:val="26282F"/>
          <w:sz w:val="28"/>
          <w:szCs w:val="28"/>
        </w:rPr>
        <w:t xml:space="preserve"> </w:t>
      </w:r>
      <w:r w:rsidRPr="00786C6B">
        <w:rPr>
          <w:rFonts w:cs="Arial"/>
          <w:sz w:val="28"/>
          <w:szCs w:val="28"/>
        </w:rPr>
        <w:t>дополнить словами:</w:t>
      </w:r>
    </w:p>
    <w:p w:rsidR="00757B8B" w:rsidRPr="00786C6B" w:rsidRDefault="00757B8B" w:rsidP="00757B8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786C6B">
        <w:rPr>
          <w:rFonts w:cs="Arial"/>
          <w:sz w:val="28"/>
          <w:szCs w:val="28"/>
        </w:rPr>
        <w:t>«- Количество работников  муниципальных  учреждений (за исключением органов местного самоуправления), 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 году ниже минимального размера оплаты труда – 0 человек».</w:t>
      </w:r>
    </w:p>
    <w:p w:rsidR="009A17D1" w:rsidRDefault="009A17D1" w:rsidP="00757B8B">
      <w:pPr>
        <w:jc w:val="both"/>
        <w:rPr>
          <w:rFonts w:cs="Arial"/>
          <w:sz w:val="28"/>
          <w:szCs w:val="28"/>
        </w:rPr>
      </w:pPr>
    </w:p>
    <w:p w:rsidR="009A17D1" w:rsidRDefault="009A17D1" w:rsidP="00757B8B">
      <w:pPr>
        <w:jc w:val="both"/>
        <w:rPr>
          <w:rFonts w:cs="Arial"/>
          <w:sz w:val="28"/>
          <w:szCs w:val="28"/>
        </w:rPr>
      </w:pPr>
    </w:p>
    <w:p w:rsidR="00BB3CE9" w:rsidRDefault="00BB3CE9" w:rsidP="00757B8B">
      <w:pPr>
        <w:jc w:val="both"/>
        <w:rPr>
          <w:rFonts w:cs="Arial"/>
          <w:sz w:val="28"/>
          <w:szCs w:val="28"/>
        </w:rPr>
      </w:pPr>
    </w:p>
    <w:p w:rsidR="00BB3CE9" w:rsidRDefault="00BB3CE9" w:rsidP="00757B8B">
      <w:pPr>
        <w:jc w:val="both"/>
        <w:rPr>
          <w:rFonts w:cs="Arial"/>
          <w:sz w:val="28"/>
          <w:szCs w:val="28"/>
        </w:rPr>
      </w:pPr>
    </w:p>
    <w:p w:rsidR="00BB3CE9" w:rsidRDefault="00BB3CE9" w:rsidP="00757B8B">
      <w:pPr>
        <w:jc w:val="both"/>
        <w:rPr>
          <w:rFonts w:cs="Arial"/>
          <w:sz w:val="28"/>
          <w:szCs w:val="28"/>
        </w:rPr>
      </w:pPr>
    </w:p>
    <w:p w:rsidR="00757B8B" w:rsidRPr="00786C6B" w:rsidRDefault="00757B8B" w:rsidP="00757B8B">
      <w:pPr>
        <w:jc w:val="both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 xml:space="preserve">- Пункт 6. Финансовое обеспечение реализации муниципальной программы изложить в следующей редакции: «На реализацию программных мероприятий на 2020 -2022 гг. запланировано </w:t>
      </w:r>
      <w:r w:rsidRPr="00786C6B">
        <w:rPr>
          <w:rFonts w:eastAsia="Calibri"/>
          <w:b/>
          <w:sz w:val="28"/>
          <w:szCs w:val="28"/>
        </w:rPr>
        <w:t xml:space="preserve">231 434,0 </w:t>
      </w:r>
      <w:r w:rsidRPr="00786C6B">
        <w:rPr>
          <w:rFonts w:eastAsia="Calibri"/>
          <w:sz w:val="28"/>
          <w:szCs w:val="28"/>
        </w:rPr>
        <w:t>тыс. рублей, в том числе по годам»:</w:t>
      </w:r>
    </w:p>
    <w:p w:rsidR="00757B8B" w:rsidRPr="00FF118E" w:rsidRDefault="00757B8B" w:rsidP="00757B8B">
      <w:pPr>
        <w:jc w:val="both"/>
        <w:rPr>
          <w:rFonts w:eastAsia="Calibri"/>
        </w:rPr>
      </w:pPr>
    </w:p>
    <w:tbl>
      <w:tblPr>
        <w:tblStyle w:val="a6"/>
        <w:tblW w:w="14424" w:type="dxa"/>
        <w:tblInd w:w="426" w:type="dxa"/>
        <w:tblLook w:val="04A0"/>
      </w:tblPr>
      <w:tblGrid>
        <w:gridCol w:w="6628"/>
        <w:gridCol w:w="7796"/>
      </w:tblGrid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2020 год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тыс. рублей</w:t>
            </w:r>
          </w:p>
        </w:tc>
      </w:tr>
      <w:tr w:rsidR="00BB3CE9" w:rsidRPr="00FE686D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BB3CE9" w:rsidRPr="00FE686D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E686D">
              <w:rPr>
                <w:sz w:val="22"/>
                <w:szCs w:val="22"/>
              </w:rPr>
              <w:t>2961,6</w:t>
            </w:r>
          </w:p>
        </w:tc>
      </w:tr>
      <w:tr w:rsidR="00BB3CE9" w:rsidRPr="00FE686D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7796" w:type="dxa"/>
          </w:tcPr>
          <w:p w:rsidR="00BB3CE9" w:rsidRPr="00FE686D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E686D">
              <w:rPr>
                <w:sz w:val="22"/>
                <w:szCs w:val="22"/>
              </w:rPr>
              <w:t>17588,6</w:t>
            </w:r>
          </w:p>
        </w:tc>
      </w:tr>
      <w:tr w:rsidR="00BB3CE9" w:rsidRPr="003D4CA4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BB3CE9" w:rsidRPr="003D4CA4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62058,1</w:t>
            </w:r>
          </w:p>
        </w:tc>
      </w:tr>
      <w:tr w:rsidR="00BB3CE9" w:rsidRPr="004D7BE9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BB3CE9" w:rsidRPr="004D7BE9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1621,0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84229,3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2021 год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16323,4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54032,4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794,0</w:t>
            </w:r>
          </w:p>
        </w:tc>
      </w:tr>
      <w:tr w:rsidR="00BB3CE9" w:rsidRPr="00497861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BB3CE9" w:rsidRPr="00497861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97861">
              <w:rPr>
                <w:b/>
                <w:sz w:val="22"/>
                <w:szCs w:val="22"/>
              </w:rPr>
              <w:t>71149,8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2022 год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19404,3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55720,6</w:t>
            </w:r>
          </w:p>
        </w:tc>
      </w:tr>
      <w:tr w:rsidR="00BB3CE9" w:rsidRPr="003A7E6E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1000,0</w:t>
            </w:r>
          </w:p>
        </w:tc>
      </w:tr>
      <w:tr w:rsidR="00BB3CE9" w:rsidRPr="00497861" w:rsidTr="007A2151">
        <w:tc>
          <w:tcPr>
            <w:tcW w:w="6628" w:type="dxa"/>
          </w:tcPr>
          <w:p w:rsidR="00BB3CE9" w:rsidRPr="003A7E6E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BB3CE9" w:rsidRPr="00497861" w:rsidRDefault="00BB3CE9" w:rsidP="007A21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97861">
              <w:rPr>
                <w:b/>
                <w:sz w:val="22"/>
                <w:szCs w:val="22"/>
              </w:rPr>
              <w:t>76124,9</w:t>
            </w:r>
          </w:p>
        </w:tc>
      </w:tr>
    </w:tbl>
    <w:p w:rsidR="00757B8B" w:rsidRPr="001422AB" w:rsidRDefault="00757B8B" w:rsidP="00757B8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3C34" w:rsidRDefault="00DD3C34" w:rsidP="00BB3CE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3CE9" w:rsidRPr="00786C6B" w:rsidRDefault="009A17D1" w:rsidP="00BB3CE9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B3CE9" w:rsidRPr="00786C6B">
        <w:rPr>
          <w:rFonts w:ascii="Times New Roman" w:hAnsi="Times New Roman"/>
          <w:color w:val="000000" w:themeColor="text1"/>
          <w:sz w:val="28"/>
          <w:szCs w:val="28"/>
        </w:rPr>
        <w:t>Перечень  мероприятий муниципальной программы «Развитие культуры Красноармейского муниципальногорайона на  2020-2022 годы» позицию «Высоковский сельский Дом культуры» пункта 4.1, позицию</w:t>
      </w:r>
      <w:r w:rsidR="00BB3CE9" w:rsidRPr="00786C6B">
        <w:rPr>
          <w:color w:val="000000" w:themeColor="text1"/>
          <w:sz w:val="28"/>
          <w:szCs w:val="28"/>
        </w:rPr>
        <w:t xml:space="preserve">  «</w:t>
      </w:r>
      <w:r w:rsidR="00BB3CE9" w:rsidRPr="00786C6B">
        <w:rPr>
          <w:rFonts w:ascii="Times New Roman" w:hAnsi="Times New Roman"/>
          <w:color w:val="000000" w:themeColor="text1"/>
          <w:sz w:val="28"/>
          <w:szCs w:val="28"/>
        </w:rPr>
        <w:t xml:space="preserve">МБУК «Централизованная клубная система» пункта 4.2  раздела 4, «Всего по разделу 4»,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пункт 8.1. раздела 8, позицию «Всего по разделу 8», пункт</w:t>
      </w:r>
      <w:r w:rsidR="00BB3CE9" w:rsidRPr="00786C6B">
        <w:rPr>
          <w:rFonts w:ascii="Times New Roman" w:hAnsi="Times New Roman"/>
          <w:color w:val="000000" w:themeColor="text1"/>
          <w:sz w:val="28"/>
          <w:szCs w:val="28"/>
        </w:rPr>
        <w:t xml:space="preserve"> 9.1 раздела 9, «Всего по разделу 9»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3CE9" w:rsidRPr="00786C6B">
        <w:rPr>
          <w:rFonts w:ascii="Times New Roman" w:hAnsi="Times New Roman"/>
          <w:color w:val="000000" w:themeColor="text1"/>
          <w:sz w:val="28"/>
          <w:szCs w:val="28"/>
        </w:rPr>
        <w:t>позицию «Всего по программе»  изложить в следующей редакции:</w:t>
      </w:r>
    </w:p>
    <w:p w:rsidR="00757B8B" w:rsidRPr="00786C6B" w:rsidRDefault="00757B8B" w:rsidP="00757B8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3CE9" w:rsidRPr="00D621D9" w:rsidRDefault="00BB3CE9" w:rsidP="00D621D9">
      <w:pPr>
        <w:rPr>
          <w:rFonts w:eastAsia="Calibri"/>
          <w:sz w:val="20"/>
          <w:szCs w:val="20"/>
        </w:rPr>
        <w:sectPr w:rsidR="00BB3CE9" w:rsidRPr="00D621D9" w:rsidSect="00DD71A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70"/>
        <w:gridCol w:w="1368"/>
        <w:gridCol w:w="1260"/>
        <w:gridCol w:w="1339"/>
        <w:gridCol w:w="1280"/>
        <w:gridCol w:w="1271"/>
        <w:gridCol w:w="1648"/>
        <w:gridCol w:w="1898"/>
        <w:gridCol w:w="2693"/>
      </w:tblGrid>
      <w:tr w:rsidR="00BB3CE9" w:rsidRPr="00782400" w:rsidTr="007A2151">
        <w:trPr>
          <w:trHeight w:val="435"/>
        </w:trPr>
        <w:tc>
          <w:tcPr>
            <w:tcW w:w="708" w:type="dxa"/>
            <w:vMerge w:val="restart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Срок испол-нения (годы)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Объем финансо-вогообеспеч-ения  (тыс. рублей), всего</w:t>
            </w:r>
          </w:p>
        </w:tc>
        <w:tc>
          <w:tcPr>
            <w:tcW w:w="5538" w:type="dxa"/>
            <w:gridSpan w:val="4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Ожидаемые результаты</w:t>
            </w:r>
          </w:p>
        </w:tc>
      </w:tr>
      <w:tr w:rsidR="00BB3CE9" w:rsidRPr="00782400" w:rsidTr="007A2151">
        <w:trPr>
          <w:trHeight w:val="1335"/>
        </w:trPr>
        <w:tc>
          <w:tcPr>
            <w:tcW w:w="708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B3CE9" w:rsidRPr="00782400" w:rsidRDefault="00BB3CE9" w:rsidP="007A2151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феде-рального бюджета (прогнозно)</w:t>
            </w:r>
          </w:p>
        </w:tc>
        <w:tc>
          <w:tcPr>
            <w:tcW w:w="1280" w:type="dxa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Cs/>
                <w:snapToGrid w:val="0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област-ного бюджета</w:t>
            </w:r>
          </w:p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(прогнозно)</w:t>
            </w:r>
          </w:p>
        </w:tc>
        <w:tc>
          <w:tcPr>
            <w:tcW w:w="1271" w:type="dxa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Местного бюджета</w:t>
            </w:r>
          </w:p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(прогнозно)</w:t>
            </w:r>
          </w:p>
        </w:tc>
        <w:tc>
          <w:tcPr>
            <w:tcW w:w="1648" w:type="dxa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внебюдежетных источников </w:t>
            </w: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br/>
              <w:t>(прогнозно)</w:t>
            </w:r>
          </w:p>
        </w:tc>
        <w:tc>
          <w:tcPr>
            <w:tcW w:w="1898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</w:tr>
    </w:tbl>
    <w:p w:rsidR="00BB3CE9" w:rsidRDefault="00BB3CE9" w:rsidP="00BB3CE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9"/>
        <w:gridCol w:w="2267"/>
        <w:gridCol w:w="266"/>
        <w:gridCol w:w="1138"/>
        <w:gridCol w:w="12"/>
        <w:gridCol w:w="1262"/>
        <w:gridCol w:w="16"/>
        <w:gridCol w:w="1127"/>
        <w:gridCol w:w="151"/>
        <w:gridCol w:w="1123"/>
        <w:gridCol w:w="295"/>
        <w:gridCol w:w="1140"/>
        <w:gridCol w:w="1558"/>
        <w:gridCol w:w="142"/>
        <w:gridCol w:w="1841"/>
        <w:gridCol w:w="423"/>
        <w:gridCol w:w="2268"/>
      </w:tblGrid>
      <w:tr w:rsidR="00BB3CE9" w:rsidRPr="00782400" w:rsidTr="007A2151">
        <w:trPr>
          <w:trHeight w:val="365"/>
        </w:trPr>
        <w:tc>
          <w:tcPr>
            <w:tcW w:w="15735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</w:rPr>
              <w:t>Раздел 4. Развитие материально-технической базы учреждений культуры</w:t>
            </w:r>
          </w:p>
        </w:tc>
      </w:tr>
      <w:tr w:rsidR="00BB3CE9" w:rsidRPr="00782400" w:rsidTr="007A2151">
        <w:tc>
          <w:tcPr>
            <w:tcW w:w="7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</w:rPr>
            </w:pPr>
            <w:r w:rsidRPr="00782400">
              <w:rPr>
                <w:rFonts w:eastAsia="Calibri"/>
              </w:rPr>
              <w:t>4.1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  <w:bCs/>
                <w:snapToGrid w:val="0"/>
              </w:rPr>
              <w:t>Организация и п</w:t>
            </w:r>
            <w:r w:rsidRPr="00782400">
              <w:rPr>
                <w:rFonts w:eastAsia="Calibri"/>
                <w:b/>
                <w:spacing w:val="-8"/>
              </w:rPr>
              <w:t>роведение</w:t>
            </w:r>
            <w:r w:rsidRPr="00782400">
              <w:rPr>
                <w:rFonts w:eastAsia="Calibri"/>
                <w:b/>
                <w:bCs/>
              </w:rPr>
              <w:t xml:space="preserve">текущего и капитального ремонта в зданиях учреждений культуры и искусства, </w:t>
            </w:r>
            <w:r w:rsidRPr="00782400">
              <w:rPr>
                <w:rFonts w:eastAsia="Calibri"/>
                <w:b/>
                <w:bCs/>
              </w:rPr>
              <w:br/>
              <w:t>в том числе: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2020-2022 гг.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5949,6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1308,3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161,7</w:t>
            </w:r>
          </w:p>
        </w:tc>
        <w:tc>
          <w:tcPr>
            <w:tcW w:w="1140" w:type="dxa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2438,6</w:t>
            </w:r>
          </w:p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2041,0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4803,6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1308,3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161,7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2438,6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895,0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480,0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ascii="Calibri" w:eastAsia="Calibri" w:hAnsi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480,0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666,0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ascii="Calibri" w:eastAsia="Calibri" w:hAnsi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666,0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rPr>
                <w:rFonts w:ascii="Calibri" w:eastAsia="Calibri" w:hAnsi="Calibri"/>
              </w:rPr>
            </w:pPr>
          </w:p>
        </w:tc>
      </w:tr>
      <w:tr w:rsidR="00BB3CE9" w:rsidRPr="00782400" w:rsidTr="007A2151">
        <w:trPr>
          <w:trHeight w:val="570"/>
        </w:trPr>
        <w:tc>
          <w:tcPr>
            <w:tcW w:w="7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Высоковский сельский Дом культуры</w:t>
            </w:r>
          </w:p>
        </w:tc>
        <w:tc>
          <w:tcPr>
            <w:tcW w:w="1416" w:type="dxa"/>
            <w:gridSpan w:val="3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 w:rsidRPr="00D95EB2">
              <w:rPr>
                <w:rFonts w:eastAsia="Calibri"/>
              </w:rPr>
              <w:t>1500,0</w:t>
            </w: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Default="00BB3CE9" w:rsidP="007A2151">
            <w:pPr>
              <w:jc w:val="center"/>
              <w:rPr>
                <w:rFonts w:eastAsia="Calibri"/>
              </w:rPr>
            </w:pPr>
          </w:p>
          <w:p w:rsidR="00BB3CE9" w:rsidRPr="00D95EB2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 w:rsidRPr="000B382B">
              <w:rPr>
                <w:rFonts w:eastAsia="Calibri"/>
              </w:rPr>
              <w:t>1308,3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 w:rsidRPr="000B382B">
              <w:rPr>
                <w:rFonts w:eastAsia="Calibri"/>
              </w:rPr>
              <w:t>161,7</w:t>
            </w:r>
          </w:p>
        </w:tc>
        <w:tc>
          <w:tcPr>
            <w:tcW w:w="1140" w:type="dxa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 w:rsidRPr="000B382B">
              <w:rPr>
                <w:rFonts w:eastAsia="Calibri"/>
              </w:rPr>
              <w:t>30,0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D95EB2" w:rsidRDefault="00BB3CE9" w:rsidP="007A2151">
            <w:pPr>
              <w:jc w:val="center"/>
              <w:rPr>
                <w:rFonts w:eastAsia="Calibri"/>
              </w:rPr>
            </w:pPr>
            <w:r w:rsidRPr="00D95EB2">
              <w:rPr>
                <w:rFonts w:eastAsia="Calibri"/>
              </w:rPr>
              <w:t>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Обеспечение развития  и укрепления  материально-технической базы  домов культуры в населенных пунктах с числом жителей до 50  тысяч человек (текущий ремонт  фойе, зрительного зала, кружковых комнат, электромонтажные работы)</w:t>
            </w:r>
          </w:p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rPr>
          <w:trHeight w:val="57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603,6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0B382B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603,6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D95EB2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 xml:space="preserve">Ремонт внутренних помещений 2 этажа, лестничного марша, ремонт и покраска оконных проемов, </w:t>
            </w:r>
            <w:r w:rsidRPr="00786C6B">
              <w:rPr>
                <w:rFonts w:eastAsia="Calibri"/>
              </w:rPr>
              <w:lastRenderedPageBreak/>
              <w:t>замена отливов, ремонт отмостки, ремонт цоколя</w:t>
            </w:r>
          </w:p>
        </w:tc>
      </w:tr>
      <w:tr w:rsidR="00BB3CE9" w:rsidRPr="00782400" w:rsidTr="007A2151">
        <w:trPr>
          <w:trHeight w:val="57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253,0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253,0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Приобретение  дверных конструкций с фрамугой и дверных блоков для установки вВысоковском сельском Доме культуры</w:t>
            </w:r>
          </w:p>
        </w:tc>
      </w:tr>
      <w:tr w:rsidR="00BB3CE9" w:rsidRPr="00782400" w:rsidTr="007A2151">
        <w:trPr>
          <w:trHeight w:val="57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  <w:bookmarkStart w:id="0" w:name="_GoBack"/>
            <w:bookmarkEnd w:id="0"/>
          </w:p>
        </w:tc>
        <w:tc>
          <w:tcPr>
            <w:tcW w:w="1700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Услуги по ремонту фасада Высоковского сельского Дома культуры</w:t>
            </w:r>
          </w:p>
        </w:tc>
      </w:tr>
      <w:tr w:rsidR="00BB3CE9" w:rsidRPr="00782400" w:rsidTr="007A2151">
        <w:trPr>
          <w:trHeight w:val="36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ремонт кровли</w:t>
            </w:r>
          </w:p>
        </w:tc>
      </w:tr>
      <w:tr w:rsidR="00BB3CE9" w:rsidRPr="00782400" w:rsidTr="007A2151">
        <w:tc>
          <w:tcPr>
            <w:tcW w:w="7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4.2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  <w:b/>
                <w:bCs/>
                <w:spacing w:val="-8"/>
              </w:rPr>
              <w:t>Модернизация оборудования и техническое оснащение учреждений культуры и искусства, приобретение сценических костюмов</w:t>
            </w:r>
            <w:r>
              <w:rPr>
                <w:rFonts w:eastAsia="Calibri"/>
                <w:b/>
                <w:bCs/>
                <w:spacing w:val="-8"/>
              </w:rPr>
              <w:t>, текстильных изделий</w:t>
            </w:r>
            <w:r w:rsidRPr="00782400">
              <w:rPr>
                <w:rFonts w:eastAsia="Calibri"/>
                <w:b/>
                <w:bCs/>
                <w:spacing w:val="-8"/>
              </w:rPr>
              <w:br/>
              <w:t>в том числе: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2020-2022 гг.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1335,0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165,0</w:t>
            </w:r>
          </w:p>
        </w:tc>
        <w:tc>
          <w:tcPr>
            <w:tcW w:w="1140" w:type="dxa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  <w:b/>
              </w:rPr>
            </w:pPr>
            <w:r w:rsidRPr="00AA5119">
              <w:rPr>
                <w:rFonts w:eastAsia="Calibri"/>
                <w:b/>
              </w:rPr>
              <w:t>315,0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 w:val="restart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1795,0</w:t>
            </w:r>
          </w:p>
          <w:p w:rsidR="00BB3CE9" w:rsidRPr="000C0020" w:rsidRDefault="00BB3CE9" w:rsidP="007A2151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AA511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165,0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200,0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95,0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105,0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105,0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115,0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115,0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rPr>
          <w:trHeight w:val="413"/>
        </w:trPr>
        <w:tc>
          <w:tcPr>
            <w:tcW w:w="7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2020-2022 гг.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1850,0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1335,0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165,0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200,0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  <w:b/>
              </w:rPr>
            </w:pPr>
            <w:r w:rsidRPr="00303CFA">
              <w:rPr>
                <w:rFonts w:eastAsia="Calibri"/>
                <w:b/>
              </w:rPr>
              <w:t>150,0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  <w:r w:rsidRPr="00786C6B">
              <w:rPr>
                <w:rFonts w:eastAsia="Calibri"/>
              </w:rPr>
              <w:t>МБУК «Централизованная клубная система»</w:t>
            </w: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rPr>
                <w:rFonts w:eastAsia="Calibri"/>
              </w:rPr>
            </w:pPr>
          </w:p>
          <w:p w:rsidR="00BB3CE9" w:rsidRPr="00786C6B" w:rsidRDefault="00BB3CE9" w:rsidP="007A2151">
            <w:pPr>
              <w:rPr>
                <w:rFonts w:eastAsia="Calibri"/>
              </w:rPr>
            </w:pPr>
          </w:p>
        </w:tc>
      </w:tr>
      <w:tr w:rsidR="00BB3CE9" w:rsidRPr="00782400" w:rsidTr="007A2151">
        <w:trPr>
          <w:trHeight w:val="36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1550,0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1335,0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165,0</w:t>
            </w:r>
          </w:p>
        </w:tc>
        <w:tc>
          <w:tcPr>
            <w:tcW w:w="1140" w:type="dxa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E270FC" w:rsidRDefault="00BB3CE9" w:rsidP="007A2151">
            <w:pPr>
              <w:jc w:val="center"/>
              <w:rPr>
                <w:rFonts w:eastAsia="Calibri"/>
              </w:rPr>
            </w:pPr>
            <w:r w:rsidRPr="00E270FC">
              <w:rPr>
                <w:rFonts w:eastAsia="Calibri"/>
              </w:rPr>
              <w:t>50,0</w:t>
            </w:r>
          </w:p>
          <w:p w:rsidR="00BB3CE9" w:rsidRPr="00E270FC" w:rsidRDefault="00BB3CE9" w:rsidP="007A2151">
            <w:pPr>
              <w:rPr>
                <w:rFonts w:eastAsia="Calibri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 xml:space="preserve">Обеспечение развития  и укрепления  материально-технической базы  домов культуры в населенных пунктах с </w:t>
            </w:r>
            <w:r w:rsidRPr="00786C6B">
              <w:rPr>
                <w:rFonts w:eastAsia="Calibri"/>
              </w:rPr>
              <w:lastRenderedPageBreak/>
              <w:t>числом жителей до 50  тысяч человек (приобретение звукового и светового оборудования, коммутации, экрана, ноутбука в Высоковский сельский Дом культуры)</w:t>
            </w:r>
          </w:p>
        </w:tc>
      </w:tr>
      <w:tr w:rsidR="00BB3CE9" w:rsidRPr="00782400" w:rsidTr="007A2151">
        <w:trPr>
          <w:trHeight w:val="36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50,0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>Приобретение  материала для занавесав Высоковский сельский Дом культуры</w:t>
            </w:r>
          </w:p>
        </w:tc>
      </w:tr>
      <w:tr w:rsidR="00BB3CE9" w:rsidRPr="00782400" w:rsidTr="007A2151">
        <w:trPr>
          <w:trHeight w:val="36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</w:tcBorders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03CFA" w:rsidRDefault="00BB3CE9" w:rsidP="007A2151">
            <w:pPr>
              <w:jc w:val="center"/>
              <w:rPr>
                <w:rFonts w:eastAsia="Calibri"/>
              </w:rPr>
            </w:pPr>
            <w:r w:rsidRPr="00303CFA">
              <w:rPr>
                <w:rFonts w:eastAsia="Calibri"/>
              </w:rPr>
              <w:t>150,0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6C6B" w:rsidRDefault="00BB3CE9" w:rsidP="007A2151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>Услуги по ремонту кресел в зрительном  залеВысоковского сельского Дома культуры</w:t>
            </w:r>
          </w:p>
        </w:tc>
      </w:tr>
      <w:tr w:rsidR="00BB3CE9" w:rsidRPr="00782400" w:rsidTr="007A2151">
        <w:trPr>
          <w:trHeight w:val="360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CD2752" w:rsidRDefault="00BB3CE9" w:rsidP="007A2151">
            <w:pPr>
              <w:jc w:val="center"/>
              <w:rPr>
                <w:rFonts w:eastAsia="Calibri"/>
              </w:rPr>
            </w:pPr>
            <w:r w:rsidRPr="00CD2752">
              <w:rPr>
                <w:rFonts w:eastAsia="Calibri"/>
              </w:rPr>
              <w:t>2021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B3CE9" w:rsidRPr="00786C6B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 w:val="restart"/>
            <w:shd w:val="clear" w:color="auto" w:fill="auto"/>
          </w:tcPr>
          <w:p w:rsidR="00BB3CE9" w:rsidRPr="00786C6B" w:rsidRDefault="00BB3CE9" w:rsidP="007A2151">
            <w:pPr>
              <w:rPr>
                <w:rFonts w:eastAsia="Calibri"/>
              </w:rPr>
            </w:pPr>
            <w:r w:rsidRPr="00786C6B">
              <w:rPr>
                <w:rFonts w:eastAsia="Calibri"/>
              </w:rPr>
              <w:t>Приобретение музыкальной аппаратуры, музыкальных инструментов, сценических костюмов, мебели, компьютерной и офисной техники</w:t>
            </w:r>
          </w:p>
        </w:tc>
      </w:tr>
      <w:tr w:rsidR="00BB3CE9" w:rsidRPr="00782400" w:rsidTr="007A2151">
        <w:trPr>
          <w:trHeight w:val="894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CD2752" w:rsidRDefault="00BB3CE9" w:rsidP="007A2151">
            <w:pPr>
              <w:jc w:val="center"/>
              <w:rPr>
                <w:rFonts w:eastAsia="Calibri"/>
              </w:rPr>
            </w:pPr>
            <w:r w:rsidRPr="00CD2752">
              <w:rPr>
                <w:rFonts w:eastAsia="Calibri"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  <w:r w:rsidRPr="00782400">
              <w:rPr>
                <w:rFonts w:eastAsia="Calibri"/>
              </w:rPr>
              <w:t>50,0</w:t>
            </w:r>
          </w:p>
        </w:tc>
        <w:tc>
          <w:tcPr>
            <w:tcW w:w="1841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>Всего по разделу 4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2020-2022 гг.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7964,6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2643,3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326,7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2638,6</w:t>
            </w:r>
          </w:p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  <w:b/>
              </w:rPr>
            </w:pPr>
            <w:r w:rsidRPr="003918E2">
              <w:rPr>
                <w:rFonts w:eastAsia="Calibri"/>
                <w:b/>
              </w:rPr>
              <w:t>2356,0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rPr>
          <w:trHeight w:val="237"/>
        </w:trPr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6598,6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2643,3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326,7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2638,6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990,0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585,0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585,0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7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781,0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918E2" w:rsidRDefault="00BB3CE9" w:rsidP="007A2151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781,0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149A9" w:rsidTr="007A2151">
        <w:tc>
          <w:tcPr>
            <w:tcW w:w="15735" w:type="dxa"/>
            <w:gridSpan w:val="18"/>
            <w:shd w:val="clear" w:color="auto" w:fill="auto"/>
          </w:tcPr>
          <w:p w:rsidR="00BB3CE9" w:rsidRPr="007149A9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7149A9">
              <w:rPr>
                <w:rFonts w:eastAsia="Lucida Sans Unicode"/>
                <w:b/>
                <w:lang w:bidi="en-US"/>
              </w:rPr>
              <w:t>Раздел 8. Государственная поддержка отрасли культуры</w:t>
            </w:r>
          </w:p>
        </w:tc>
      </w:tr>
      <w:tr w:rsidR="00BB3CE9" w:rsidRPr="00782400" w:rsidTr="007A2151">
        <w:tblPrEx>
          <w:tblLook w:val="00A0"/>
        </w:tblPrEx>
        <w:tc>
          <w:tcPr>
            <w:tcW w:w="567" w:type="dxa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8.1</w:t>
            </w:r>
          </w:p>
        </w:tc>
        <w:tc>
          <w:tcPr>
            <w:tcW w:w="2672" w:type="dxa"/>
            <w:gridSpan w:val="3"/>
          </w:tcPr>
          <w:p w:rsidR="00BB3CE9" w:rsidRPr="00782400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>
              <w:rPr>
                <w:rFonts w:eastAsia="Lucida Sans Unicode" w:cs="Tahoma"/>
                <w:lang w:bidi="en-US"/>
              </w:rPr>
              <w:t>П</w:t>
            </w:r>
            <w:r w:rsidRPr="00093455">
              <w:rPr>
                <w:rFonts w:eastAsia="Lucida Sans Unicode" w:cs="Tahoma"/>
                <w:lang w:bidi="en-US"/>
              </w:rPr>
              <w:t xml:space="preserve">одключение муниципальных общедоступных библиотек к </w:t>
            </w:r>
            <w:r w:rsidRPr="00093455">
              <w:rPr>
                <w:rFonts w:eastAsia="Lucida Sans Unicode" w:cs="Tahoma"/>
                <w:lang w:bidi="en-US"/>
              </w:rPr>
              <w:lastRenderedPageBreak/>
              <w:t>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38" w:type="dxa"/>
          </w:tcPr>
          <w:p w:rsidR="00BB3CE9" w:rsidRPr="00782400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lastRenderedPageBreak/>
              <w:t>2020 г.</w:t>
            </w:r>
          </w:p>
        </w:tc>
        <w:tc>
          <w:tcPr>
            <w:tcW w:w="1274" w:type="dxa"/>
            <w:gridSpan w:val="2"/>
          </w:tcPr>
          <w:p w:rsidR="00BB3CE9" w:rsidRPr="008E4BD5" w:rsidRDefault="00BB3CE9" w:rsidP="007A2151">
            <w:pPr>
              <w:jc w:val="center"/>
              <w:rPr>
                <w:rFonts w:eastAsia="Calibri"/>
                <w:b/>
              </w:rPr>
            </w:pPr>
            <w:r w:rsidRPr="008E4BD5">
              <w:rPr>
                <w:rFonts w:eastAsia="Calibri"/>
                <w:b/>
              </w:rPr>
              <w:t>203,0</w:t>
            </w:r>
          </w:p>
        </w:tc>
        <w:tc>
          <w:tcPr>
            <w:tcW w:w="1143" w:type="dxa"/>
            <w:gridSpan w:val="2"/>
          </w:tcPr>
          <w:p w:rsidR="00BB3CE9" w:rsidRPr="00031C2A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168,3</w:t>
            </w:r>
          </w:p>
        </w:tc>
        <w:tc>
          <w:tcPr>
            <w:tcW w:w="1274" w:type="dxa"/>
            <w:gridSpan w:val="2"/>
          </w:tcPr>
          <w:p w:rsidR="00BB3CE9" w:rsidRPr="00031C2A" w:rsidRDefault="00BB3CE9" w:rsidP="007A21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34,7</w:t>
            </w:r>
          </w:p>
        </w:tc>
        <w:tc>
          <w:tcPr>
            <w:tcW w:w="1435" w:type="dxa"/>
            <w:gridSpan w:val="2"/>
          </w:tcPr>
          <w:p w:rsidR="00BB3CE9" w:rsidRPr="00031C2A" w:rsidRDefault="00BB3CE9" w:rsidP="007A2151">
            <w:pPr>
              <w:jc w:val="center"/>
              <w:rPr>
                <w:rFonts w:eastAsia="Calibri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1558" w:type="dxa"/>
          </w:tcPr>
          <w:p w:rsidR="00BB3CE9" w:rsidRPr="00031C2A" w:rsidRDefault="00BB3CE9" w:rsidP="007A2151">
            <w:pPr>
              <w:jc w:val="center"/>
              <w:rPr>
                <w:rFonts w:eastAsia="Calibri"/>
                <w:color w:val="FF0000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2406" w:type="dxa"/>
            <w:gridSpan w:val="3"/>
          </w:tcPr>
          <w:p w:rsidR="00BB3CE9" w:rsidRPr="00782400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2400">
              <w:rPr>
                <w:rFonts w:eastAsia="Calibri"/>
              </w:rPr>
              <w:t>МБУК «Межпоселенческая центральная библиотека»</w:t>
            </w:r>
          </w:p>
        </w:tc>
        <w:tc>
          <w:tcPr>
            <w:tcW w:w="2268" w:type="dxa"/>
          </w:tcPr>
          <w:p w:rsidR="00BB3CE9" w:rsidRPr="00782400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93455">
              <w:rPr>
                <w:rFonts w:eastAsia="Lucida Sans Unicode" w:cs="Tahoma"/>
                <w:lang w:bidi="en-US"/>
              </w:rPr>
              <w:t xml:space="preserve">Увеличение количества библиотек, подключенных к </w:t>
            </w:r>
            <w:r w:rsidRPr="00093455">
              <w:rPr>
                <w:rFonts w:eastAsia="Lucida Sans Unicode" w:cs="Tahoma"/>
                <w:lang w:bidi="en-US"/>
              </w:rPr>
              <w:lastRenderedPageBreak/>
              <w:t>информационно-телекоммуникационной  сети «Интернет»</w:t>
            </w:r>
          </w:p>
        </w:tc>
      </w:tr>
      <w:tr w:rsidR="00BB3CE9" w:rsidRPr="004C7AA1" w:rsidTr="007A2151">
        <w:tblPrEx>
          <w:tblLook w:val="00A0"/>
        </w:tblPrEx>
        <w:tc>
          <w:tcPr>
            <w:tcW w:w="567" w:type="dxa"/>
          </w:tcPr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672" w:type="dxa"/>
            <w:gridSpan w:val="3"/>
          </w:tcPr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Всего по разделу 8</w:t>
            </w:r>
          </w:p>
        </w:tc>
        <w:tc>
          <w:tcPr>
            <w:tcW w:w="1138" w:type="dxa"/>
          </w:tcPr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2020 г.</w:t>
            </w:r>
          </w:p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4" w:type="dxa"/>
            <w:gridSpan w:val="2"/>
          </w:tcPr>
          <w:p w:rsidR="00BB3CE9" w:rsidRPr="004C7AA1" w:rsidRDefault="00BB3CE9" w:rsidP="007A21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353,0</w:t>
            </w:r>
          </w:p>
        </w:tc>
        <w:tc>
          <w:tcPr>
            <w:tcW w:w="1143" w:type="dxa"/>
            <w:gridSpan w:val="2"/>
          </w:tcPr>
          <w:p w:rsidR="00BB3CE9" w:rsidRPr="004C7AA1" w:rsidRDefault="00BB3CE9" w:rsidP="007A21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318,3</w:t>
            </w:r>
          </w:p>
        </w:tc>
        <w:tc>
          <w:tcPr>
            <w:tcW w:w="1274" w:type="dxa"/>
            <w:gridSpan w:val="2"/>
          </w:tcPr>
          <w:p w:rsidR="00BB3CE9" w:rsidRPr="004C7AA1" w:rsidRDefault="00BB3CE9" w:rsidP="007A21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34,7</w:t>
            </w:r>
          </w:p>
        </w:tc>
        <w:tc>
          <w:tcPr>
            <w:tcW w:w="1435" w:type="dxa"/>
            <w:gridSpan w:val="2"/>
          </w:tcPr>
          <w:p w:rsidR="00BB3CE9" w:rsidRPr="004C7AA1" w:rsidRDefault="00BB3CE9" w:rsidP="007A21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558" w:type="dxa"/>
          </w:tcPr>
          <w:p w:rsidR="00BB3CE9" w:rsidRPr="004C7AA1" w:rsidRDefault="00BB3CE9" w:rsidP="007A215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2406" w:type="dxa"/>
            <w:gridSpan w:val="3"/>
          </w:tcPr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CE9" w:rsidRPr="004C7AA1" w:rsidRDefault="00BB3CE9" w:rsidP="007A2151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B3CE9" w:rsidRPr="003A7E6E" w:rsidTr="007A2151">
        <w:tblPrEx>
          <w:tblLook w:val="00A0"/>
        </w:tblPrEx>
        <w:tc>
          <w:tcPr>
            <w:tcW w:w="567" w:type="dxa"/>
          </w:tcPr>
          <w:p w:rsidR="00BB3CE9" w:rsidRPr="003A7E6E" w:rsidRDefault="00BB3CE9" w:rsidP="007A2151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5168" w:type="dxa"/>
            <w:gridSpan w:val="17"/>
          </w:tcPr>
          <w:p w:rsidR="00BB3CE9" w:rsidRDefault="00BB3CE9" w:rsidP="007A2151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 xml:space="preserve">Раздел 9. Сохранение объектов культурного наследия, памятников расположенных на территории </w:t>
            </w:r>
          </w:p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 xml:space="preserve">Красноармейского муниципального </w:t>
            </w:r>
            <w:r w:rsidRPr="003A7E6E">
              <w:rPr>
                <w:rFonts w:eastAsia="Calibri"/>
                <w:b/>
              </w:rPr>
              <w:t>района.</w:t>
            </w:r>
          </w:p>
        </w:tc>
      </w:tr>
      <w:tr w:rsidR="00BB3CE9" w:rsidRPr="004C7AA1" w:rsidTr="007A2151">
        <w:tblPrEx>
          <w:tblLook w:val="00A0"/>
        </w:tblPrEx>
        <w:trPr>
          <w:trHeight w:val="435"/>
        </w:trPr>
        <w:tc>
          <w:tcPr>
            <w:tcW w:w="567" w:type="dxa"/>
            <w:vMerge w:val="restart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4C7AA1">
              <w:rPr>
                <w:rFonts w:eastAsia="Calibri"/>
              </w:rPr>
              <w:t>9.1</w:t>
            </w:r>
          </w:p>
        </w:tc>
        <w:tc>
          <w:tcPr>
            <w:tcW w:w="2406" w:type="dxa"/>
            <w:gridSpan w:val="2"/>
            <w:vMerge w:val="restart"/>
          </w:tcPr>
          <w:p w:rsidR="00BB3CE9" w:rsidRPr="00786C6B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6C6B">
              <w:rPr>
                <w:rFonts w:eastAsia="Lucida Sans Unicode" w:cs="Tahoma"/>
                <w:lang w:bidi="en-US"/>
              </w:rPr>
              <w:t>Ремонт мемориала «Память погибшим землякам» в г.Красноармейске</w:t>
            </w:r>
          </w:p>
        </w:tc>
        <w:tc>
          <w:tcPr>
            <w:tcW w:w="1404" w:type="dxa"/>
            <w:gridSpan w:val="2"/>
          </w:tcPr>
          <w:p w:rsidR="00BB3CE9" w:rsidRPr="004C7AA1" w:rsidRDefault="00BB3CE9" w:rsidP="007A2151">
            <w:pPr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>2020-2022 гг.</w:t>
            </w:r>
          </w:p>
        </w:tc>
        <w:tc>
          <w:tcPr>
            <w:tcW w:w="1290" w:type="dxa"/>
            <w:gridSpan w:val="3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1</w:t>
            </w:r>
            <w:r>
              <w:rPr>
                <w:rFonts w:eastAsia="Lucida Sans Unicode" w:cs="Tahoma"/>
                <w:b/>
                <w:lang w:bidi="en-US"/>
              </w:rPr>
              <w:t>310</w:t>
            </w:r>
            <w:r w:rsidRPr="004C7AA1">
              <w:rPr>
                <w:rFonts w:eastAsia="Lucida Sans Unicode" w:cs="Tahoma"/>
                <w:b/>
                <w:lang w:bidi="en-US"/>
              </w:rPr>
              <w:t>,0</w:t>
            </w:r>
          </w:p>
        </w:tc>
        <w:tc>
          <w:tcPr>
            <w:tcW w:w="127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41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140" w:type="dxa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val="en-US" w:bidi="en-US"/>
              </w:rPr>
              <w:t>8</w:t>
            </w:r>
            <w:r>
              <w:rPr>
                <w:rFonts w:eastAsia="Lucida Sans Unicode" w:cs="Tahoma"/>
                <w:b/>
                <w:lang w:bidi="en-US"/>
              </w:rPr>
              <w:t>5</w:t>
            </w:r>
            <w:r w:rsidRPr="004C7AA1">
              <w:rPr>
                <w:rFonts w:eastAsia="Lucida Sans Unicode" w:cs="Tahoma"/>
                <w:b/>
                <w:lang w:bidi="en-US"/>
              </w:rPr>
              <w:t>0,0</w:t>
            </w:r>
          </w:p>
        </w:tc>
        <w:tc>
          <w:tcPr>
            <w:tcW w:w="1700" w:type="dxa"/>
            <w:gridSpan w:val="2"/>
          </w:tcPr>
          <w:p w:rsidR="00BB3CE9" w:rsidRPr="008E4BD5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460,0</w:t>
            </w:r>
          </w:p>
        </w:tc>
        <w:tc>
          <w:tcPr>
            <w:tcW w:w="1841" w:type="dxa"/>
            <w:vMerge w:val="restart"/>
          </w:tcPr>
          <w:p w:rsidR="00BB3CE9" w:rsidRPr="00786C6B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6C6B">
              <w:rPr>
                <w:rFonts w:eastAsia="Lucida Sans Unicode" w:cs="Tahoma"/>
                <w:lang w:bidi="en-US"/>
              </w:rPr>
              <w:t>МБУК «Централизованная клубная система»</w:t>
            </w:r>
          </w:p>
        </w:tc>
        <w:tc>
          <w:tcPr>
            <w:tcW w:w="2691" w:type="dxa"/>
            <w:gridSpan w:val="2"/>
            <w:vMerge w:val="restart"/>
          </w:tcPr>
          <w:p w:rsidR="00BB3CE9" w:rsidRPr="00786C6B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6C6B">
              <w:rPr>
                <w:rFonts w:eastAsia="Lucida Sans Unicode" w:cs="Tahoma"/>
                <w:lang w:bidi="en-US"/>
              </w:rPr>
              <w:t>обеспечение сохранности памятника</w:t>
            </w:r>
          </w:p>
        </w:tc>
      </w:tr>
      <w:tr w:rsidR="00BB3CE9" w:rsidRPr="004C7AA1" w:rsidTr="007A2151">
        <w:tblPrEx>
          <w:tblLook w:val="00A0"/>
        </w:tblPrEx>
        <w:trPr>
          <w:trHeight w:val="435"/>
        </w:trPr>
        <w:tc>
          <w:tcPr>
            <w:tcW w:w="567" w:type="dxa"/>
            <w:vMerge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404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90" w:type="dxa"/>
            <w:gridSpan w:val="3"/>
          </w:tcPr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03CFA">
              <w:rPr>
                <w:rFonts w:eastAsia="Lucida Sans Unicode" w:cs="Tahoma"/>
                <w:lang w:bidi="en-US"/>
              </w:rPr>
              <w:t>1310,0</w:t>
            </w:r>
          </w:p>
        </w:tc>
        <w:tc>
          <w:tcPr>
            <w:tcW w:w="1278" w:type="dxa"/>
            <w:gridSpan w:val="2"/>
          </w:tcPr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03CF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18" w:type="dxa"/>
            <w:gridSpan w:val="2"/>
          </w:tcPr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03CF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40" w:type="dxa"/>
          </w:tcPr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03CFA">
              <w:rPr>
                <w:rFonts w:eastAsia="Lucida Sans Unicode" w:cs="Tahoma"/>
                <w:lang w:bidi="en-US"/>
              </w:rPr>
              <w:t>850,0</w:t>
            </w:r>
          </w:p>
        </w:tc>
        <w:tc>
          <w:tcPr>
            <w:tcW w:w="1700" w:type="dxa"/>
            <w:gridSpan w:val="2"/>
          </w:tcPr>
          <w:p w:rsidR="00BB3CE9" w:rsidRPr="00303CFA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03CFA">
              <w:rPr>
                <w:rFonts w:eastAsia="Lucida Sans Unicode" w:cs="Tahoma"/>
                <w:lang w:bidi="en-US"/>
              </w:rPr>
              <w:t>460,0</w:t>
            </w:r>
          </w:p>
        </w:tc>
        <w:tc>
          <w:tcPr>
            <w:tcW w:w="1841" w:type="dxa"/>
            <w:vMerge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  <w:tc>
          <w:tcPr>
            <w:tcW w:w="2691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</w:tr>
      <w:tr w:rsidR="00BB3CE9" w:rsidRPr="004C7AA1" w:rsidTr="007A2151">
        <w:tblPrEx>
          <w:tblLook w:val="00A0"/>
        </w:tblPrEx>
        <w:trPr>
          <w:trHeight w:val="285"/>
        </w:trPr>
        <w:tc>
          <w:tcPr>
            <w:tcW w:w="567" w:type="dxa"/>
            <w:vMerge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404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90" w:type="dxa"/>
            <w:gridSpan w:val="3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1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40" w:type="dxa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700" w:type="dxa"/>
            <w:gridSpan w:val="2"/>
          </w:tcPr>
          <w:p w:rsidR="00BB3CE9" w:rsidRPr="008E4BD5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841" w:type="dxa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691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BB3CE9" w:rsidRPr="004C7AA1" w:rsidTr="007A2151">
        <w:tblPrEx>
          <w:tblLook w:val="00A0"/>
        </w:tblPrEx>
        <w:trPr>
          <w:trHeight w:val="360"/>
        </w:trPr>
        <w:tc>
          <w:tcPr>
            <w:tcW w:w="567" w:type="dxa"/>
            <w:vMerge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404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90" w:type="dxa"/>
            <w:gridSpan w:val="3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18" w:type="dxa"/>
            <w:gridSpan w:val="2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40" w:type="dxa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700" w:type="dxa"/>
            <w:gridSpan w:val="2"/>
          </w:tcPr>
          <w:p w:rsidR="00BB3CE9" w:rsidRPr="008E4BD5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841" w:type="dxa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691" w:type="dxa"/>
            <w:gridSpan w:val="2"/>
            <w:vMerge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BB3CE9" w:rsidRPr="004C7AA1" w:rsidTr="007A2151">
        <w:tc>
          <w:tcPr>
            <w:tcW w:w="567" w:type="dxa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val="en-US" w:bidi="en-US"/>
              </w:rPr>
              <w:t>Всегопоразделу</w:t>
            </w:r>
            <w:r w:rsidRPr="004C7AA1">
              <w:rPr>
                <w:rFonts w:eastAsia="Lucida Sans Unicode"/>
                <w:b/>
                <w:lang w:bidi="en-US"/>
              </w:rPr>
              <w:t>9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BB3CE9" w:rsidRPr="004C7AA1" w:rsidRDefault="00BB3CE9" w:rsidP="007A2151">
            <w:pPr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>2020-2022 гг.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1316,0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val="en-US" w:bidi="en-US"/>
              </w:rPr>
              <w:t>8</w:t>
            </w:r>
            <w:r>
              <w:rPr>
                <w:rFonts w:eastAsia="Lucida Sans Unicode"/>
                <w:b/>
                <w:lang w:bidi="en-US"/>
              </w:rPr>
              <w:t>5</w:t>
            </w:r>
            <w:r w:rsidRPr="004C7AA1">
              <w:rPr>
                <w:rFonts w:eastAsia="Lucida Sans Unicode"/>
                <w:b/>
                <w:lang w:bidi="en-US"/>
              </w:rPr>
              <w:t>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8E4BD5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8E4BD5">
              <w:rPr>
                <w:rFonts w:eastAsia="Lucida Sans Unicode"/>
                <w:lang w:bidi="en-US"/>
              </w:rPr>
              <w:t>466,0</w:t>
            </w:r>
          </w:p>
        </w:tc>
        <w:tc>
          <w:tcPr>
            <w:tcW w:w="1841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BB3CE9" w:rsidRPr="004C7AA1" w:rsidTr="007A2151">
        <w:tc>
          <w:tcPr>
            <w:tcW w:w="567" w:type="dxa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BB3CE9" w:rsidRPr="004C7AA1" w:rsidRDefault="00BB3CE9" w:rsidP="007A2151">
            <w:pPr>
              <w:widowControl w:val="0"/>
              <w:tabs>
                <w:tab w:val="center" w:pos="713"/>
                <w:tab w:val="left" w:pos="1395"/>
              </w:tabs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1</w:t>
            </w:r>
            <w:r>
              <w:rPr>
                <w:rFonts w:eastAsia="Lucida Sans Unicode"/>
                <w:lang w:bidi="en-US"/>
              </w:rPr>
              <w:t>31</w:t>
            </w: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val="en-US" w:bidi="en-US"/>
              </w:rPr>
              <w:t>8</w:t>
            </w:r>
            <w:r>
              <w:rPr>
                <w:rFonts w:eastAsia="Lucida Sans Unicode"/>
                <w:lang w:bidi="en-US"/>
              </w:rPr>
              <w:t>5</w:t>
            </w:r>
            <w:r w:rsidRPr="004C7AA1">
              <w:rPr>
                <w:rFonts w:eastAsia="Lucida Sans Unicode"/>
                <w:lang w:bidi="en-US"/>
              </w:rPr>
              <w:t>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462,0</w:t>
            </w:r>
          </w:p>
        </w:tc>
        <w:tc>
          <w:tcPr>
            <w:tcW w:w="1841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BB3CE9" w:rsidRPr="004C7AA1" w:rsidTr="007A2151">
        <w:tc>
          <w:tcPr>
            <w:tcW w:w="567" w:type="dxa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841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BB3CE9" w:rsidRPr="004C7AA1" w:rsidTr="007A2151">
        <w:tc>
          <w:tcPr>
            <w:tcW w:w="567" w:type="dxa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841" w:type="dxa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4C7AA1" w:rsidRDefault="00BB3CE9" w:rsidP="007A2151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BB3CE9" w:rsidRPr="00782400" w:rsidTr="007A2151">
        <w:tc>
          <w:tcPr>
            <w:tcW w:w="567" w:type="dxa"/>
            <w:vMerge w:val="restart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 w:val="restart"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  <w:r w:rsidRPr="003A7E6E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A7E6E" w:rsidRDefault="00BB3CE9" w:rsidP="007A2151">
            <w:pPr>
              <w:jc w:val="center"/>
              <w:rPr>
                <w:b/>
              </w:rPr>
            </w:pPr>
            <w:r w:rsidRPr="003A7E6E">
              <w:rPr>
                <w:b/>
              </w:rPr>
              <w:t>2020-2022 гг.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231504,0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2961,6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53316,3</w:t>
            </w:r>
          </w:p>
        </w:tc>
        <w:tc>
          <w:tcPr>
            <w:tcW w:w="1140" w:type="dxa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171811,1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60207B">
              <w:rPr>
                <w:rFonts w:cs="Tahoma"/>
                <w:b/>
              </w:rPr>
              <w:t>3415,0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84229,3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A01302">
              <w:rPr>
                <w:rFonts w:eastAsia="Lucida Sans Unicode"/>
                <w:lang w:bidi="en-US"/>
              </w:rPr>
              <w:t>2961,6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17588,6</w:t>
            </w:r>
          </w:p>
        </w:tc>
        <w:tc>
          <w:tcPr>
            <w:tcW w:w="1140" w:type="dxa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62058,1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1621,0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5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60207B">
              <w:rPr>
                <w:rFonts w:cs="Tahoma"/>
              </w:rPr>
              <w:t>71149,8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60207B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60207B">
              <w:rPr>
                <w:rFonts w:eastAsia="Lucida Sans Unicode"/>
                <w:lang w:bidi="en-US"/>
              </w:rPr>
              <w:t>16323,4</w:t>
            </w:r>
          </w:p>
        </w:tc>
        <w:tc>
          <w:tcPr>
            <w:tcW w:w="1140" w:type="dxa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60207B">
              <w:rPr>
                <w:rFonts w:cs="Tahoma"/>
              </w:rPr>
              <w:t>54032,4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794,0</w:t>
            </w: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  <w:tr w:rsidR="00BB3CE9" w:rsidRPr="00782400" w:rsidTr="007A2151">
        <w:tc>
          <w:tcPr>
            <w:tcW w:w="567" w:type="dxa"/>
            <w:vMerge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06" w:type="dxa"/>
            <w:gridSpan w:val="2"/>
            <w:vMerge/>
            <w:shd w:val="clear" w:color="auto" w:fill="auto"/>
          </w:tcPr>
          <w:p w:rsidR="00BB3CE9" w:rsidRPr="00782400" w:rsidRDefault="00BB3CE9" w:rsidP="007A2151">
            <w:pPr>
              <w:rPr>
                <w:rFonts w:eastAsia="Calibri"/>
                <w:b/>
              </w:rPr>
            </w:pPr>
          </w:p>
        </w:tc>
        <w:tc>
          <w:tcPr>
            <w:tcW w:w="1416" w:type="dxa"/>
            <w:gridSpan w:val="3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60207B">
              <w:rPr>
                <w:rFonts w:cs="Tahoma"/>
              </w:rPr>
              <w:t>76124,9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60207B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60207B">
              <w:rPr>
                <w:rFonts w:eastAsia="Lucida Sans Unicode"/>
                <w:lang w:bidi="en-US"/>
              </w:rPr>
              <w:t>19404,3</w:t>
            </w:r>
          </w:p>
        </w:tc>
        <w:tc>
          <w:tcPr>
            <w:tcW w:w="1140" w:type="dxa"/>
            <w:shd w:val="clear" w:color="auto" w:fill="auto"/>
          </w:tcPr>
          <w:p w:rsidR="00BB3CE9" w:rsidRPr="0060207B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60207B">
              <w:rPr>
                <w:rFonts w:cs="Tahoma"/>
              </w:rPr>
              <w:t>55720,6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1000,0</w:t>
            </w:r>
          </w:p>
          <w:p w:rsidR="00BB3CE9" w:rsidRPr="003A7E6E" w:rsidRDefault="00BB3CE9" w:rsidP="007A2151">
            <w:pPr>
              <w:widowControl w:val="0"/>
              <w:suppressAutoHyphens/>
              <w:jc w:val="center"/>
              <w:rPr>
                <w:rFonts w:cs="Tahoma"/>
              </w:rPr>
            </w:pPr>
          </w:p>
        </w:tc>
        <w:tc>
          <w:tcPr>
            <w:tcW w:w="1841" w:type="dxa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  <w:tc>
          <w:tcPr>
            <w:tcW w:w="2691" w:type="dxa"/>
            <w:gridSpan w:val="2"/>
            <w:shd w:val="clear" w:color="auto" w:fill="auto"/>
          </w:tcPr>
          <w:p w:rsidR="00BB3CE9" w:rsidRPr="00782400" w:rsidRDefault="00BB3CE9" w:rsidP="007A2151">
            <w:pPr>
              <w:jc w:val="center"/>
              <w:rPr>
                <w:rFonts w:eastAsia="Calibri"/>
              </w:rPr>
            </w:pPr>
          </w:p>
        </w:tc>
      </w:tr>
    </w:tbl>
    <w:p w:rsidR="00BB3CE9" w:rsidRDefault="00BB3CE9" w:rsidP="00BB3CE9">
      <w:pPr>
        <w:pStyle w:val="a3"/>
        <w:tabs>
          <w:tab w:val="left" w:pos="-426"/>
        </w:tabs>
        <w:rPr>
          <w:rFonts w:ascii="Times New Roman" w:hAnsi="Times New Roman"/>
          <w:sz w:val="24"/>
          <w:szCs w:val="24"/>
        </w:rPr>
        <w:sectPr w:rsidR="00BB3CE9" w:rsidSect="00DD3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07091" w:rsidRPr="00BB3CE9" w:rsidRDefault="00707091" w:rsidP="00BB3CE9">
      <w:pPr>
        <w:ind w:firstLine="708"/>
      </w:pPr>
    </w:p>
    <w:sectPr w:rsidR="00707091" w:rsidRPr="00BB3CE9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BB" w:rsidRDefault="00DF0ABB" w:rsidP="00DD3C34">
      <w:r>
        <w:separator/>
      </w:r>
    </w:p>
  </w:endnote>
  <w:endnote w:type="continuationSeparator" w:id="1">
    <w:p w:rsidR="00DF0ABB" w:rsidRDefault="00DF0ABB" w:rsidP="00DD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BB" w:rsidRDefault="00DF0ABB" w:rsidP="00DD3C34">
      <w:r>
        <w:separator/>
      </w:r>
    </w:p>
  </w:footnote>
  <w:footnote w:type="continuationSeparator" w:id="1">
    <w:p w:rsidR="00DF0ABB" w:rsidRDefault="00DF0ABB" w:rsidP="00DD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325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901AD"/>
    <w:multiLevelType w:val="hybridMultilevel"/>
    <w:tmpl w:val="1CF0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8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3A1C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C63D9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57B8B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17D1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07E4"/>
    <w:rsid w:val="00B55E54"/>
    <w:rsid w:val="00B65466"/>
    <w:rsid w:val="00B82DC5"/>
    <w:rsid w:val="00B8481D"/>
    <w:rsid w:val="00B85CAC"/>
    <w:rsid w:val="00BA78EF"/>
    <w:rsid w:val="00BB3CE9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21D9"/>
    <w:rsid w:val="00D660B6"/>
    <w:rsid w:val="00D73683"/>
    <w:rsid w:val="00D8065B"/>
    <w:rsid w:val="00D814E7"/>
    <w:rsid w:val="00D85245"/>
    <w:rsid w:val="00DA1797"/>
    <w:rsid w:val="00DA27B4"/>
    <w:rsid w:val="00DD05E8"/>
    <w:rsid w:val="00DD3C34"/>
    <w:rsid w:val="00DD71A9"/>
    <w:rsid w:val="00DE26C6"/>
    <w:rsid w:val="00DF0ABB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B8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7B8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B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7B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57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757B8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7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8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B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7B8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D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D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3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dcterms:created xsi:type="dcterms:W3CDTF">2020-05-28T10:34:00Z</dcterms:created>
  <dcterms:modified xsi:type="dcterms:W3CDTF">2020-06-02T06:19:00Z</dcterms:modified>
</cp:coreProperties>
</file>