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6B" w:rsidRDefault="001E796B" w:rsidP="001E796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96B" w:rsidRDefault="001E796B" w:rsidP="001E796B">
      <w:pPr>
        <w:jc w:val="center"/>
        <w:rPr>
          <w:sz w:val="28"/>
        </w:rPr>
      </w:pPr>
    </w:p>
    <w:p w:rsidR="001E796B" w:rsidRPr="007B0983" w:rsidRDefault="001E796B" w:rsidP="001E796B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1E796B" w:rsidRPr="007B0983" w:rsidRDefault="001E796B" w:rsidP="001E796B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1E796B" w:rsidRPr="007B0983" w:rsidRDefault="001E796B" w:rsidP="001E796B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1E796B" w:rsidRPr="007B0983" w:rsidRDefault="001E796B" w:rsidP="001E796B">
      <w:pPr>
        <w:jc w:val="center"/>
        <w:rPr>
          <w:b/>
          <w:bCs/>
          <w:sz w:val="28"/>
          <w:szCs w:val="28"/>
        </w:rPr>
      </w:pPr>
    </w:p>
    <w:p w:rsidR="001E796B" w:rsidRPr="007B0983" w:rsidRDefault="001E796B" w:rsidP="001E796B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441"/>
        <w:gridCol w:w="537"/>
        <w:gridCol w:w="1731"/>
      </w:tblGrid>
      <w:tr w:rsidR="001E796B" w:rsidTr="001E796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1E796B" w:rsidRDefault="001E796B" w:rsidP="00FA2057">
            <w:pPr>
              <w:jc w:val="center"/>
            </w:pPr>
          </w:p>
          <w:p w:rsidR="001E796B" w:rsidRDefault="001E796B" w:rsidP="00FA2057">
            <w:pPr>
              <w:jc w:val="center"/>
            </w:pPr>
          </w:p>
          <w:p w:rsidR="001E796B" w:rsidRDefault="001E796B" w:rsidP="00FA2057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1E796B" w:rsidRPr="004A446F" w:rsidRDefault="001E796B" w:rsidP="00FA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декабря 2019г.</w:t>
            </w:r>
          </w:p>
        </w:tc>
        <w:tc>
          <w:tcPr>
            <w:tcW w:w="537" w:type="dxa"/>
            <w:vMerge w:val="restart"/>
            <w:vAlign w:val="bottom"/>
          </w:tcPr>
          <w:p w:rsidR="001E796B" w:rsidRPr="004A446F" w:rsidRDefault="001E796B" w:rsidP="00FA2057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731" w:type="dxa"/>
            <w:vMerge w:val="restart"/>
            <w:tcBorders>
              <w:bottom w:val="dotted" w:sz="4" w:space="0" w:color="auto"/>
            </w:tcBorders>
            <w:vAlign w:val="bottom"/>
          </w:tcPr>
          <w:p w:rsidR="001E796B" w:rsidRPr="004A446F" w:rsidRDefault="001E796B" w:rsidP="00FA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</w:t>
            </w:r>
          </w:p>
        </w:tc>
      </w:tr>
      <w:tr w:rsidR="001E796B" w:rsidTr="001E796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1E796B" w:rsidRDefault="001E796B" w:rsidP="00FA2057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1E796B" w:rsidRDefault="001E796B" w:rsidP="00FA2057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1E796B" w:rsidRDefault="001E796B" w:rsidP="00FA2057">
            <w:pPr>
              <w:jc w:val="center"/>
            </w:pPr>
          </w:p>
        </w:tc>
        <w:tc>
          <w:tcPr>
            <w:tcW w:w="1731" w:type="dxa"/>
            <w:vMerge/>
            <w:tcBorders>
              <w:bottom w:val="dotted" w:sz="4" w:space="0" w:color="auto"/>
            </w:tcBorders>
            <w:vAlign w:val="bottom"/>
          </w:tcPr>
          <w:p w:rsidR="001E796B" w:rsidRDefault="001E796B" w:rsidP="00FA2057">
            <w:pPr>
              <w:jc w:val="center"/>
            </w:pPr>
          </w:p>
        </w:tc>
      </w:tr>
      <w:tr w:rsidR="001E796B" w:rsidTr="001E796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1E796B" w:rsidRDefault="001E796B" w:rsidP="00FA2057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1E796B" w:rsidRDefault="001E796B" w:rsidP="00FA2057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1E796B" w:rsidRDefault="001E796B" w:rsidP="00FA2057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</w:tcBorders>
            <w:vAlign w:val="bottom"/>
          </w:tcPr>
          <w:p w:rsidR="001E796B" w:rsidRDefault="001E796B" w:rsidP="00FA2057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1E796B" w:rsidRDefault="001E796B" w:rsidP="001E796B">
      <w:pPr>
        <w:pStyle w:val="2"/>
        <w:tabs>
          <w:tab w:val="left" w:pos="5670"/>
        </w:tabs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1E796B" w:rsidRPr="001E796B" w:rsidRDefault="001E796B" w:rsidP="001E796B">
      <w:pPr>
        <w:pStyle w:val="2"/>
        <w:ind w:right="3684"/>
        <w:jc w:val="both"/>
        <w:rPr>
          <w:b w:val="0"/>
          <w:sz w:val="28"/>
          <w:szCs w:val="28"/>
        </w:rPr>
      </w:pPr>
      <w:r w:rsidRPr="001E796B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1E796B">
        <w:rPr>
          <w:b w:val="0"/>
          <w:sz w:val="28"/>
          <w:szCs w:val="28"/>
        </w:rPr>
        <w:t xml:space="preserve"> внесении </w:t>
      </w:r>
      <w:r>
        <w:rPr>
          <w:b w:val="0"/>
          <w:sz w:val="28"/>
          <w:szCs w:val="28"/>
        </w:rPr>
        <w:t xml:space="preserve"> </w:t>
      </w:r>
      <w:r w:rsidRPr="001E796B">
        <w:rPr>
          <w:b w:val="0"/>
          <w:sz w:val="28"/>
          <w:szCs w:val="28"/>
        </w:rPr>
        <w:t xml:space="preserve">изменений </w:t>
      </w:r>
      <w:r>
        <w:rPr>
          <w:b w:val="0"/>
          <w:sz w:val="28"/>
          <w:szCs w:val="28"/>
        </w:rPr>
        <w:t xml:space="preserve"> </w:t>
      </w:r>
      <w:r w:rsidRPr="001E796B">
        <w:rPr>
          <w:b w:val="0"/>
          <w:sz w:val="28"/>
          <w:szCs w:val="28"/>
        </w:rPr>
        <w:t xml:space="preserve">и </w:t>
      </w:r>
      <w:r>
        <w:rPr>
          <w:b w:val="0"/>
          <w:sz w:val="28"/>
          <w:szCs w:val="28"/>
        </w:rPr>
        <w:t xml:space="preserve"> </w:t>
      </w:r>
      <w:r w:rsidRPr="001E796B">
        <w:rPr>
          <w:b w:val="0"/>
          <w:sz w:val="28"/>
          <w:szCs w:val="28"/>
        </w:rPr>
        <w:t>дополнений</w:t>
      </w:r>
      <w:r>
        <w:rPr>
          <w:b w:val="0"/>
          <w:sz w:val="28"/>
          <w:szCs w:val="28"/>
        </w:rPr>
        <w:t xml:space="preserve"> </w:t>
      </w:r>
      <w:r w:rsidRPr="001E796B">
        <w:rPr>
          <w:b w:val="0"/>
          <w:sz w:val="28"/>
          <w:szCs w:val="28"/>
        </w:rPr>
        <w:t xml:space="preserve">  </w:t>
      </w:r>
      <w:proofErr w:type="gramStart"/>
      <w:r w:rsidRPr="001E796B">
        <w:rPr>
          <w:b w:val="0"/>
          <w:sz w:val="28"/>
          <w:szCs w:val="28"/>
        </w:rPr>
        <w:t>в</w:t>
      </w:r>
      <w:proofErr w:type="gramEnd"/>
    </w:p>
    <w:p w:rsidR="001E796B" w:rsidRPr="001E796B" w:rsidRDefault="001E796B" w:rsidP="001E796B">
      <w:pPr>
        <w:pStyle w:val="2"/>
        <w:ind w:right="3684"/>
        <w:jc w:val="both"/>
        <w:rPr>
          <w:rFonts w:ascii="Tahoma" w:hAnsi="Tahoma" w:cs="Tahoma"/>
          <w:b w:val="0"/>
          <w:bCs w:val="0"/>
          <w:sz w:val="28"/>
          <w:szCs w:val="28"/>
        </w:rPr>
      </w:pPr>
      <w:r w:rsidRPr="001E796B">
        <w:rPr>
          <w:b w:val="0"/>
          <w:sz w:val="28"/>
          <w:szCs w:val="28"/>
        </w:rPr>
        <w:t xml:space="preserve">административный регламент предоставления </w:t>
      </w:r>
    </w:p>
    <w:p w:rsidR="001E796B" w:rsidRPr="0058113F" w:rsidRDefault="001E796B" w:rsidP="001E796B">
      <w:pPr>
        <w:ind w:right="3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услуги  «Утверждение схемы расположения земельного участка или земельных участков на кадастровом плане территории»</w:t>
      </w:r>
      <w:r w:rsidRPr="0058113F">
        <w:rPr>
          <w:bCs/>
          <w:sz w:val="28"/>
          <w:szCs w:val="28"/>
        </w:rPr>
        <w:t xml:space="preserve"> </w:t>
      </w:r>
    </w:p>
    <w:p w:rsidR="001E796B" w:rsidRDefault="001E796B" w:rsidP="001E796B">
      <w:pPr>
        <w:jc w:val="both"/>
        <w:rPr>
          <w:sz w:val="28"/>
          <w:szCs w:val="28"/>
          <w:lang w:eastAsia="ar-SA"/>
        </w:rPr>
      </w:pPr>
    </w:p>
    <w:p w:rsidR="001E796B" w:rsidRDefault="001E796B" w:rsidP="001E796B">
      <w:pPr>
        <w:jc w:val="both"/>
        <w:rPr>
          <w:sz w:val="28"/>
          <w:szCs w:val="28"/>
          <w:lang w:eastAsia="ar-SA"/>
        </w:rPr>
      </w:pPr>
    </w:p>
    <w:p w:rsidR="001E796B" w:rsidRPr="009275F2" w:rsidRDefault="001E796B" w:rsidP="001E796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 законом от 27.07.2010г. № 210-ФЗ «Об организации  предоставления государственных и муниципальных услуг»,</w:t>
      </w:r>
      <w:r w:rsidRPr="00927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Федеральным законом от 19.07.2018г.  № 204-ФЗ  «Об организации предоставления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услуг» в части установления дополнительных гарантий граждан при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государственных и муниципальных услуг, </w:t>
      </w:r>
      <w:r w:rsidRPr="009275F2">
        <w:rPr>
          <w:sz w:val="28"/>
          <w:szCs w:val="28"/>
        </w:rPr>
        <w:t>Уставом Красноармейского муниц</w:t>
      </w:r>
      <w:r w:rsidRPr="009275F2">
        <w:rPr>
          <w:sz w:val="28"/>
          <w:szCs w:val="28"/>
        </w:rPr>
        <w:t>и</w:t>
      </w:r>
      <w:r w:rsidRPr="009275F2">
        <w:rPr>
          <w:sz w:val="28"/>
          <w:szCs w:val="28"/>
        </w:rPr>
        <w:t>пального района Саратовской области, администрация Красноармейского муниципал</w:t>
      </w:r>
      <w:r w:rsidRPr="009275F2">
        <w:rPr>
          <w:sz w:val="28"/>
          <w:szCs w:val="28"/>
        </w:rPr>
        <w:t>ь</w:t>
      </w:r>
      <w:r w:rsidRPr="009275F2">
        <w:rPr>
          <w:sz w:val="28"/>
          <w:szCs w:val="28"/>
        </w:rPr>
        <w:t>ного района  ПОСТАНОВЛЯЕТ:</w:t>
      </w:r>
      <w:proofErr w:type="gramEnd"/>
    </w:p>
    <w:p w:rsidR="001E796B" w:rsidRDefault="001E796B" w:rsidP="001E796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Pr="009275F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административный регламент предоставления муниципальной усл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ги 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Красноармейского муниципального района Саратовской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ласти  от 24.12.2018г. № 847, следующие изменения и дополнения:</w:t>
      </w:r>
    </w:p>
    <w:p w:rsidR="001E796B" w:rsidRDefault="001E796B" w:rsidP="001E79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ab/>
        <w:t>а) пункт 2.9.  изменить, изложив в следующей редакции:</w:t>
      </w:r>
    </w:p>
    <w:p w:rsidR="001E796B" w:rsidRDefault="00124D4D" w:rsidP="001E796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E796B">
        <w:rPr>
          <w:bCs/>
          <w:sz w:val="28"/>
          <w:szCs w:val="28"/>
        </w:rPr>
        <w:t>редоставления документов  и информации, отсутствие и (или) недостове</w:t>
      </w:r>
      <w:r w:rsidR="001E796B">
        <w:rPr>
          <w:bCs/>
          <w:sz w:val="28"/>
          <w:szCs w:val="28"/>
        </w:rPr>
        <w:t>р</w:t>
      </w:r>
      <w:r w:rsidR="001E796B">
        <w:rPr>
          <w:bCs/>
          <w:sz w:val="28"/>
          <w:szCs w:val="28"/>
        </w:rPr>
        <w:t xml:space="preserve">ность </w:t>
      </w:r>
      <w:r w:rsidR="003F79F2">
        <w:rPr>
          <w:bCs/>
          <w:sz w:val="28"/>
          <w:szCs w:val="28"/>
        </w:rPr>
        <w:t xml:space="preserve">которых </w:t>
      </w:r>
      <w:r w:rsidR="001E796B">
        <w:rPr>
          <w:bCs/>
          <w:sz w:val="28"/>
          <w:szCs w:val="28"/>
        </w:rPr>
        <w:t>не указывалась в первоначальном отказе в приеме документов, необходимых для предоставления государственной или муниципальной услуги, либо в предоставл</w:t>
      </w:r>
      <w:r w:rsidR="001E796B">
        <w:rPr>
          <w:bCs/>
          <w:sz w:val="28"/>
          <w:szCs w:val="28"/>
        </w:rPr>
        <w:t>е</w:t>
      </w:r>
      <w:r w:rsidR="001E796B">
        <w:rPr>
          <w:bCs/>
          <w:sz w:val="28"/>
          <w:szCs w:val="28"/>
        </w:rPr>
        <w:t>нии государственной или муниципальной услуги, за исключением следующих случаев:</w:t>
      </w:r>
    </w:p>
    <w:p w:rsidR="001E796B" w:rsidRDefault="00124D4D" w:rsidP="001E796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="001E796B">
        <w:rPr>
          <w:bCs/>
          <w:sz w:val="28"/>
          <w:szCs w:val="28"/>
        </w:rPr>
        <w:t xml:space="preserve"> изменение требований нормативных правовых актов, касающихся предоста</w:t>
      </w:r>
      <w:r w:rsidR="001E796B">
        <w:rPr>
          <w:bCs/>
          <w:sz w:val="28"/>
          <w:szCs w:val="28"/>
        </w:rPr>
        <w:t>в</w:t>
      </w:r>
      <w:r w:rsidR="001E796B">
        <w:rPr>
          <w:bCs/>
          <w:sz w:val="28"/>
          <w:szCs w:val="28"/>
        </w:rPr>
        <w:t>ления государст</w:t>
      </w:r>
      <w:r w:rsidR="003F79F2">
        <w:rPr>
          <w:bCs/>
          <w:sz w:val="28"/>
          <w:szCs w:val="28"/>
        </w:rPr>
        <w:t>венной или муниципальной услуги</w:t>
      </w:r>
      <w:r w:rsidR="001E796B">
        <w:rPr>
          <w:bCs/>
          <w:sz w:val="28"/>
          <w:szCs w:val="28"/>
        </w:rPr>
        <w:t>, после первоначальной подачи з</w:t>
      </w:r>
      <w:r w:rsidR="001E796B">
        <w:rPr>
          <w:bCs/>
          <w:sz w:val="28"/>
          <w:szCs w:val="28"/>
        </w:rPr>
        <w:t>а</w:t>
      </w:r>
      <w:r w:rsidR="001E796B">
        <w:rPr>
          <w:bCs/>
          <w:sz w:val="28"/>
          <w:szCs w:val="28"/>
        </w:rPr>
        <w:t>явления о предоставлении государственной или муниципальной услуги;</w:t>
      </w:r>
    </w:p>
    <w:p w:rsidR="001E796B" w:rsidRDefault="00124D4D" w:rsidP="001E796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E796B">
        <w:rPr>
          <w:bCs/>
          <w:sz w:val="28"/>
          <w:szCs w:val="28"/>
        </w:rPr>
        <w:t xml:space="preserve"> наличие ошибок в заявлении о предоставлении государственной или муниц</w:t>
      </w:r>
      <w:r w:rsidR="001E796B">
        <w:rPr>
          <w:bCs/>
          <w:sz w:val="28"/>
          <w:szCs w:val="28"/>
        </w:rPr>
        <w:t>и</w:t>
      </w:r>
      <w:r w:rsidR="001E796B">
        <w:rPr>
          <w:bCs/>
          <w:sz w:val="28"/>
          <w:szCs w:val="28"/>
        </w:rPr>
        <w:t>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</w:t>
      </w:r>
      <w:r w:rsidR="001E796B">
        <w:rPr>
          <w:bCs/>
          <w:sz w:val="28"/>
          <w:szCs w:val="28"/>
        </w:rPr>
        <w:t>и</w:t>
      </w:r>
      <w:r w:rsidR="001E796B">
        <w:rPr>
          <w:bCs/>
          <w:sz w:val="28"/>
          <w:szCs w:val="28"/>
        </w:rPr>
        <w:t>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1E796B" w:rsidRDefault="00124D4D" w:rsidP="001E796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E796B">
        <w:rPr>
          <w:bCs/>
          <w:sz w:val="28"/>
          <w:szCs w:val="28"/>
        </w:rPr>
        <w:t xml:space="preserve"> истечение срока действия документов или изменение информации после пе</w:t>
      </w:r>
      <w:r w:rsidR="001E796B">
        <w:rPr>
          <w:bCs/>
          <w:sz w:val="28"/>
          <w:szCs w:val="28"/>
        </w:rPr>
        <w:t>р</w:t>
      </w:r>
      <w:r w:rsidR="001E796B">
        <w:rPr>
          <w:bCs/>
          <w:sz w:val="28"/>
          <w:szCs w:val="28"/>
        </w:rPr>
        <w:t>воначального отказа в приеме документов, необходимых для предоставления госуда</w:t>
      </w:r>
      <w:r w:rsidR="001E796B">
        <w:rPr>
          <w:bCs/>
          <w:sz w:val="28"/>
          <w:szCs w:val="28"/>
        </w:rPr>
        <w:t>р</w:t>
      </w:r>
      <w:r w:rsidR="001E796B">
        <w:rPr>
          <w:bCs/>
          <w:sz w:val="28"/>
          <w:szCs w:val="28"/>
        </w:rPr>
        <w:t>ственной или муниципальной услуги, либо в предоставлении государственной или м</w:t>
      </w:r>
      <w:r w:rsidR="001E796B">
        <w:rPr>
          <w:bCs/>
          <w:sz w:val="28"/>
          <w:szCs w:val="28"/>
        </w:rPr>
        <w:t>у</w:t>
      </w:r>
      <w:r w:rsidR="001E796B">
        <w:rPr>
          <w:bCs/>
          <w:sz w:val="28"/>
          <w:szCs w:val="28"/>
        </w:rPr>
        <w:t>ниципальной услуги;</w:t>
      </w:r>
    </w:p>
    <w:p w:rsidR="001E796B" w:rsidRDefault="00124D4D" w:rsidP="001E796B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</w:t>
      </w:r>
      <w:r w:rsidR="001E796B">
        <w:rPr>
          <w:bCs/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</w:t>
      </w:r>
      <w:r w:rsidR="001E796B">
        <w:rPr>
          <w:bCs/>
          <w:sz w:val="28"/>
          <w:szCs w:val="28"/>
        </w:rPr>
        <w:t>в</w:t>
      </w:r>
      <w:r w:rsidR="001E796B">
        <w:rPr>
          <w:bCs/>
          <w:sz w:val="28"/>
          <w:szCs w:val="28"/>
        </w:rPr>
        <w:t xml:space="preserve">ляющего государственную </w:t>
      </w:r>
      <w:r w:rsidR="003F79F2">
        <w:rPr>
          <w:bCs/>
          <w:sz w:val="28"/>
          <w:szCs w:val="28"/>
        </w:rPr>
        <w:t>у</w:t>
      </w:r>
      <w:r w:rsidR="001E796B">
        <w:rPr>
          <w:bCs/>
          <w:sz w:val="28"/>
          <w:szCs w:val="28"/>
        </w:rPr>
        <w:t>слугу, или органа, предоставляющего муниципальную усл</w:t>
      </w:r>
      <w:r w:rsidR="001E796B">
        <w:rPr>
          <w:bCs/>
          <w:sz w:val="28"/>
          <w:szCs w:val="28"/>
        </w:rPr>
        <w:t>у</w:t>
      </w:r>
      <w:r w:rsidR="001E796B">
        <w:rPr>
          <w:bCs/>
          <w:sz w:val="28"/>
          <w:szCs w:val="28"/>
        </w:rPr>
        <w:t>гу, государственного или муниципального служащего, работника многофункционал</w:t>
      </w:r>
      <w:r w:rsidR="001E796B">
        <w:rPr>
          <w:bCs/>
          <w:sz w:val="28"/>
          <w:szCs w:val="28"/>
        </w:rPr>
        <w:t>ь</w:t>
      </w:r>
      <w:r w:rsidR="001E796B">
        <w:rPr>
          <w:bCs/>
          <w:sz w:val="28"/>
          <w:szCs w:val="28"/>
        </w:rPr>
        <w:t>ного центра, работника организации, предусмотренной частью 1.1 статьи 16 Федерал</w:t>
      </w:r>
      <w:r w:rsidR="001E796B">
        <w:rPr>
          <w:bCs/>
          <w:sz w:val="28"/>
          <w:szCs w:val="28"/>
        </w:rPr>
        <w:t>ь</w:t>
      </w:r>
      <w:r w:rsidR="001E796B">
        <w:rPr>
          <w:bCs/>
          <w:sz w:val="28"/>
          <w:szCs w:val="28"/>
        </w:rPr>
        <w:t>ного закона  № 204- ФЗ от 19.07.2018г., при первоначальном отказе в приеме докуме</w:t>
      </w:r>
      <w:r w:rsidR="001E796B">
        <w:rPr>
          <w:bCs/>
          <w:sz w:val="28"/>
          <w:szCs w:val="28"/>
        </w:rPr>
        <w:t>н</w:t>
      </w:r>
      <w:r w:rsidR="001E796B">
        <w:rPr>
          <w:bCs/>
          <w:sz w:val="28"/>
          <w:szCs w:val="28"/>
        </w:rPr>
        <w:t xml:space="preserve">тов, необходимых для предоставления государственной или муниципальной </w:t>
      </w:r>
      <w:r w:rsidR="003F79F2">
        <w:rPr>
          <w:bCs/>
          <w:sz w:val="28"/>
          <w:szCs w:val="28"/>
        </w:rPr>
        <w:t>у</w:t>
      </w:r>
      <w:r w:rsidR="001E796B">
        <w:rPr>
          <w:bCs/>
          <w:sz w:val="28"/>
          <w:szCs w:val="28"/>
        </w:rPr>
        <w:t>слуги, л</w:t>
      </w:r>
      <w:r w:rsidR="001E796B">
        <w:rPr>
          <w:bCs/>
          <w:sz w:val="28"/>
          <w:szCs w:val="28"/>
        </w:rPr>
        <w:t>и</w:t>
      </w:r>
      <w:r w:rsidR="001E796B">
        <w:rPr>
          <w:bCs/>
          <w:sz w:val="28"/>
          <w:szCs w:val="28"/>
        </w:rPr>
        <w:t>бо в предоставлении государственной или</w:t>
      </w:r>
      <w:proofErr w:type="gramEnd"/>
      <w:r w:rsidR="001E796B">
        <w:rPr>
          <w:bCs/>
          <w:sz w:val="28"/>
          <w:szCs w:val="28"/>
        </w:rPr>
        <w:t xml:space="preserve"> </w:t>
      </w:r>
      <w:proofErr w:type="gramStart"/>
      <w:r w:rsidR="001E796B">
        <w:rPr>
          <w:bCs/>
          <w:sz w:val="28"/>
          <w:szCs w:val="28"/>
        </w:rPr>
        <w:t>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</w:t>
      </w:r>
      <w:r w:rsidR="001E796B">
        <w:rPr>
          <w:bCs/>
          <w:sz w:val="28"/>
          <w:szCs w:val="28"/>
        </w:rPr>
        <w:t>о</w:t>
      </w:r>
      <w:r w:rsidR="001E796B">
        <w:rPr>
          <w:bCs/>
          <w:sz w:val="28"/>
          <w:szCs w:val="28"/>
        </w:rPr>
        <w:t>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</w:t>
      </w:r>
      <w:r w:rsidR="001E796B">
        <w:rPr>
          <w:bCs/>
          <w:sz w:val="28"/>
          <w:szCs w:val="28"/>
        </w:rPr>
        <w:t>а</w:t>
      </w:r>
      <w:r w:rsidR="001E796B">
        <w:rPr>
          <w:bCs/>
          <w:sz w:val="28"/>
          <w:szCs w:val="28"/>
        </w:rPr>
        <w:t>низации, предусмотренной частью 1.1 статьи 16 204-ФЗ от 19.07.2048г., уведомляется заявитель, а также приносятся извинения за доставленные неудобства;</w:t>
      </w:r>
      <w:proofErr w:type="gramEnd"/>
    </w:p>
    <w:p w:rsidR="001E796B" w:rsidRDefault="00124D4D" w:rsidP="001E796B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</w:t>
      </w:r>
      <w:r w:rsidR="001E796B">
        <w:rPr>
          <w:bCs/>
          <w:sz w:val="28"/>
          <w:szCs w:val="28"/>
        </w:rPr>
        <w:t xml:space="preserve"> требование у заявителя при предоставлении государственной или муниципал</w:t>
      </w:r>
      <w:r w:rsidR="001E796B">
        <w:rPr>
          <w:bCs/>
          <w:sz w:val="28"/>
          <w:szCs w:val="28"/>
        </w:rPr>
        <w:t>ь</w:t>
      </w:r>
      <w:r w:rsidR="001E796B">
        <w:rPr>
          <w:bCs/>
          <w:sz w:val="28"/>
          <w:szCs w:val="28"/>
        </w:rPr>
        <w:t>ной услуги документов или информации, отсутствие и (или) недостоверность которых не указывались при первоначальном отказ</w:t>
      </w:r>
      <w:r w:rsidR="003F79F2">
        <w:rPr>
          <w:bCs/>
          <w:sz w:val="28"/>
          <w:szCs w:val="28"/>
        </w:rPr>
        <w:t>е</w:t>
      </w:r>
      <w:r w:rsidR="001E796B">
        <w:rPr>
          <w:bCs/>
          <w:sz w:val="28"/>
          <w:szCs w:val="28"/>
        </w:rPr>
        <w:t xml:space="preserve"> в приеме документов, необходимых для предоставления государственной или муниципальной услуги, за исключением случаев, предусмотренных пунктом 4  части 1 статьи 7 Федерального закона   № 204- ФЗ от 19.07.2018г. В указанном случае досудебное (внесудебное) обжалование решений и действий  (бездействий) многофункционального</w:t>
      </w:r>
      <w:proofErr w:type="gramEnd"/>
      <w:r w:rsidR="001E796B">
        <w:rPr>
          <w:bCs/>
          <w:sz w:val="28"/>
          <w:szCs w:val="28"/>
        </w:rPr>
        <w:t xml:space="preserve"> центра, работника многофункционал</w:t>
      </w:r>
      <w:r w:rsidR="001E796B">
        <w:rPr>
          <w:bCs/>
          <w:sz w:val="28"/>
          <w:szCs w:val="28"/>
        </w:rPr>
        <w:t>ь</w:t>
      </w:r>
      <w:r w:rsidR="001E796B">
        <w:rPr>
          <w:bCs/>
          <w:sz w:val="28"/>
          <w:szCs w:val="28"/>
        </w:rPr>
        <w:t>ного центра возможно в случае, если на многофункциональный центр, решения и де</w:t>
      </w:r>
      <w:r w:rsidR="001E796B">
        <w:rPr>
          <w:bCs/>
          <w:sz w:val="28"/>
          <w:szCs w:val="28"/>
        </w:rPr>
        <w:t>й</w:t>
      </w:r>
      <w:r w:rsidR="001E796B">
        <w:rPr>
          <w:bCs/>
          <w:sz w:val="28"/>
          <w:szCs w:val="28"/>
        </w:rPr>
        <w:t>ствия (бездействия) которого обжалуются, возложена функция по предоставлению с</w:t>
      </w:r>
      <w:r w:rsidR="001E796B">
        <w:rPr>
          <w:bCs/>
          <w:sz w:val="28"/>
          <w:szCs w:val="28"/>
        </w:rPr>
        <w:t>о</w:t>
      </w:r>
      <w:r w:rsidR="001E796B">
        <w:rPr>
          <w:bCs/>
          <w:sz w:val="28"/>
          <w:szCs w:val="28"/>
        </w:rPr>
        <w:t>ответствующих государственных или муниципальных слуг в полном объеме в порядке, определенном частью 1.3 статьи 16 Федерального закона;</w:t>
      </w:r>
    </w:p>
    <w:p w:rsidR="001E796B" w:rsidRDefault="00124D4D" w:rsidP="001E796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="001E796B">
        <w:rPr>
          <w:bCs/>
          <w:sz w:val="28"/>
          <w:szCs w:val="28"/>
        </w:rPr>
        <w:t xml:space="preserve">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</w:t>
      </w:r>
      <w:r w:rsidR="001E796B">
        <w:rPr>
          <w:bCs/>
          <w:sz w:val="28"/>
          <w:szCs w:val="28"/>
        </w:rPr>
        <w:t>и</w:t>
      </w:r>
      <w:r w:rsidR="001E796B">
        <w:rPr>
          <w:bCs/>
          <w:sz w:val="28"/>
          <w:szCs w:val="28"/>
        </w:rPr>
        <w:t>мых для предоставления государственной или муниципальной услуги, либо в предо</w:t>
      </w:r>
      <w:r w:rsidR="001E796B">
        <w:rPr>
          <w:bCs/>
          <w:sz w:val="28"/>
          <w:szCs w:val="28"/>
        </w:rPr>
        <w:t>с</w:t>
      </w:r>
      <w:r w:rsidR="001E796B">
        <w:rPr>
          <w:bCs/>
          <w:sz w:val="28"/>
          <w:szCs w:val="28"/>
        </w:rPr>
        <w:t>тавлении государственной или муниципальной услуги, за исключением случаев, пред</w:t>
      </w:r>
      <w:r w:rsidR="001E796B">
        <w:rPr>
          <w:bCs/>
          <w:sz w:val="28"/>
          <w:szCs w:val="28"/>
        </w:rPr>
        <w:t>у</w:t>
      </w:r>
      <w:r w:rsidR="001E796B">
        <w:rPr>
          <w:bCs/>
          <w:sz w:val="28"/>
          <w:szCs w:val="28"/>
        </w:rPr>
        <w:t xml:space="preserve">смотренных пунктом 4 части 1 статьи, Федерального закона. Данное положение в части первоначального отказа в предоставлении государственной или муниципальной услуги применяются в случае, если на многофункциональный центр возложена функция по предоставлению соответствующих государственных или муниципальных </w:t>
      </w:r>
      <w:r w:rsidR="003F79F2">
        <w:rPr>
          <w:bCs/>
          <w:sz w:val="28"/>
          <w:szCs w:val="28"/>
        </w:rPr>
        <w:t>у</w:t>
      </w:r>
      <w:r w:rsidR="001E796B">
        <w:rPr>
          <w:bCs/>
          <w:sz w:val="28"/>
          <w:szCs w:val="28"/>
        </w:rPr>
        <w:t>слуг в полном объеме в порядке, определенном частью 1.3 статьи 16 Федерального закона № 204- ФЗ от 19.07.2018г.</w:t>
      </w:r>
      <w:r w:rsidR="003F79F2">
        <w:rPr>
          <w:bCs/>
          <w:sz w:val="28"/>
          <w:szCs w:val="28"/>
        </w:rPr>
        <w:t>;</w:t>
      </w:r>
    </w:p>
    <w:p w:rsidR="001E796B" w:rsidRDefault="001E796B" w:rsidP="001E79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раздел «Порядок подачи и рассмотрения жалобы» дополнить пунктами 6, 6.1</w:t>
      </w:r>
      <w:r w:rsidR="003F79F2">
        <w:rPr>
          <w:sz w:val="28"/>
          <w:szCs w:val="28"/>
        </w:rPr>
        <w:t>.</w:t>
      </w:r>
      <w:r>
        <w:rPr>
          <w:sz w:val="28"/>
          <w:szCs w:val="28"/>
        </w:rPr>
        <w:t xml:space="preserve">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1E796B" w:rsidRDefault="001E796B" w:rsidP="001E796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части 8 статьи 11.2 </w:t>
      </w:r>
      <w:r>
        <w:rPr>
          <w:bCs/>
          <w:sz w:val="28"/>
          <w:szCs w:val="28"/>
        </w:rPr>
        <w:t>Федерального закона № 204- ФЗ от 19.07.2018г., дается информация о действиях, осуществляемых органом, предоставляющим государстве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ную услугу, органом, предоставляющим муниципальную услугу, многофункционал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ным центром либо организацией, предусмотренной частью 1.1 статьи 16</w:t>
      </w:r>
      <w:r w:rsidRPr="001B0C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Федерального закона № 204- ФЗ от 19.07.2018г., в целях незамедлительного устранения выявленных нарушений при оказании государственной</w:t>
      </w:r>
      <w:proofErr w:type="gramEnd"/>
      <w:r>
        <w:rPr>
          <w:bCs/>
          <w:sz w:val="28"/>
          <w:szCs w:val="28"/>
        </w:rPr>
        <w:t xml:space="preserve"> или муниципальной услуги,  а также прин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сятся извинения за доставленные </w:t>
      </w:r>
      <w:proofErr w:type="gramStart"/>
      <w:r>
        <w:rPr>
          <w:bCs/>
          <w:sz w:val="28"/>
          <w:szCs w:val="28"/>
        </w:rPr>
        <w:t>неудобства</w:t>
      </w:r>
      <w:proofErr w:type="gramEnd"/>
      <w:r>
        <w:rPr>
          <w:bCs/>
          <w:sz w:val="28"/>
          <w:szCs w:val="28"/>
        </w:rPr>
        <w:t xml:space="preserve"> и указывается  информация о дальнейших действиях, которые необходимо совершить заявителю в целях получения государс</w:t>
      </w:r>
      <w:r>
        <w:rPr>
          <w:bCs/>
          <w:sz w:val="28"/>
          <w:szCs w:val="28"/>
        </w:rPr>
        <w:t>т</w:t>
      </w:r>
      <w:r w:rsidR="003F79F2">
        <w:rPr>
          <w:bCs/>
          <w:sz w:val="28"/>
          <w:szCs w:val="28"/>
        </w:rPr>
        <w:t>венной или муниципальной услуги;</w:t>
      </w:r>
    </w:p>
    <w:p w:rsidR="001E796B" w:rsidRPr="009275F2" w:rsidRDefault="001E796B" w:rsidP="001E796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6.1</w:t>
      </w:r>
      <w:r w:rsidR="003F79F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случае признания жалобы не подлежащей удовлетворению в ответе заяв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телю, указанном  в части 8 статьи 11.2.</w:t>
      </w:r>
      <w:r w:rsidRPr="000C31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Федерального закона № 204- ФЗ от 19.07.2018г., даются аргументированные разъяснения о причинах принятого решения, а также 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формация о порядке обжалования принятого решения;</w:t>
      </w:r>
    </w:p>
    <w:p w:rsidR="001E796B" w:rsidRDefault="001E796B" w:rsidP="001E796B">
      <w:pPr>
        <w:tabs>
          <w:tab w:val="left" w:pos="1152"/>
        </w:tabs>
        <w:jc w:val="both"/>
        <w:rPr>
          <w:sz w:val="28"/>
        </w:rPr>
      </w:pPr>
      <w:r>
        <w:rPr>
          <w:sz w:val="28"/>
          <w:szCs w:val="28"/>
        </w:rPr>
        <w:t xml:space="preserve">           2.</w:t>
      </w:r>
      <w:r w:rsidR="003F79F2">
        <w:rPr>
          <w:sz w:val="28"/>
          <w:szCs w:val="28"/>
        </w:rPr>
        <w:t xml:space="preserve"> </w:t>
      </w:r>
      <w:r w:rsidRPr="009275F2">
        <w:rPr>
          <w:sz w:val="28"/>
          <w:szCs w:val="28"/>
        </w:rPr>
        <w:t>Организационному -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</w:t>
      </w:r>
      <w:r w:rsidRPr="009275F2">
        <w:rPr>
          <w:sz w:val="28"/>
          <w:szCs w:val="28"/>
        </w:rPr>
        <w:t>и</w:t>
      </w:r>
      <w:r w:rsidRPr="009275F2">
        <w:rPr>
          <w:sz w:val="28"/>
          <w:szCs w:val="28"/>
        </w:rPr>
        <w:t xml:space="preserve">пального района в </w:t>
      </w:r>
      <w:r w:rsidRPr="009275F2">
        <w:rPr>
          <w:color w:val="000000"/>
          <w:sz w:val="28"/>
          <w:szCs w:val="28"/>
        </w:rPr>
        <w:t>информационно-телекоммуникационной</w:t>
      </w:r>
      <w:r w:rsidRPr="009275F2">
        <w:rPr>
          <w:sz w:val="28"/>
          <w:szCs w:val="28"/>
        </w:rPr>
        <w:t xml:space="preserve"> сети «Интернет» (</w:t>
      </w:r>
      <w:r>
        <w:rPr>
          <w:sz w:val="28"/>
          <w:szCs w:val="28"/>
          <w:lang w:val="en-US"/>
        </w:rPr>
        <w:t>http</w:t>
      </w:r>
      <w:r w:rsidRPr="00693188">
        <w:rPr>
          <w:sz w:val="28"/>
          <w:szCs w:val="28"/>
        </w:rPr>
        <w:t>://</w:t>
      </w:r>
      <w:proofErr w:type="spellStart"/>
      <w:r w:rsidRPr="009275F2">
        <w:rPr>
          <w:sz w:val="28"/>
          <w:szCs w:val="28"/>
          <w:lang w:val="en-US"/>
        </w:rPr>
        <w:t>krasnoarmeysk</w:t>
      </w:r>
      <w:proofErr w:type="spellEnd"/>
      <w:r w:rsidRPr="0058113F">
        <w:rPr>
          <w:sz w:val="28"/>
          <w:szCs w:val="28"/>
        </w:rPr>
        <w:t>64.</w:t>
      </w:r>
      <w:proofErr w:type="spellStart"/>
      <w:r w:rsidRPr="009275F2">
        <w:rPr>
          <w:sz w:val="28"/>
          <w:szCs w:val="28"/>
          <w:lang w:val="en-US"/>
        </w:rPr>
        <w:t>ru</w:t>
      </w:r>
      <w:proofErr w:type="spellEnd"/>
      <w:r w:rsidRPr="00693188">
        <w:rPr>
          <w:sz w:val="28"/>
          <w:szCs w:val="28"/>
        </w:rPr>
        <w:t>//</w:t>
      </w:r>
      <w:r w:rsidRPr="009275F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E796B" w:rsidRPr="006617E5" w:rsidRDefault="001E796B" w:rsidP="001E796B">
      <w:pPr>
        <w:tabs>
          <w:tab w:val="left" w:pos="1152"/>
        </w:tabs>
        <w:jc w:val="both"/>
      </w:pPr>
      <w:r>
        <w:rPr>
          <w:sz w:val="28"/>
          <w:szCs w:val="28"/>
        </w:rPr>
        <w:t xml:space="preserve">           </w:t>
      </w:r>
      <w:r w:rsidRPr="00693188">
        <w:rPr>
          <w:sz w:val="28"/>
          <w:szCs w:val="28"/>
        </w:rPr>
        <w:t>3.</w:t>
      </w:r>
      <w:r w:rsidR="003F79F2">
        <w:rPr>
          <w:sz w:val="28"/>
          <w:szCs w:val="28"/>
        </w:rPr>
        <w:t xml:space="preserve"> </w:t>
      </w:r>
      <w:proofErr w:type="gramStart"/>
      <w:r w:rsidRPr="009275F2">
        <w:rPr>
          <w:sz w:val="28"/>
          <w:szCs w:val="28"/>
        </w:rPr>
        <w:t>Контроль за</w:t>
      </w:r>
      <w:proofErr w:type="gramEnd"/>
      <w:r w:rsidRPr="009275F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Красноармейского муниципального района</w:t>
      </w:r>
      <w:r>
        <w:t>;</w:t>
      </w:r>
    </w:p>
    <w:p w:rsidR="001E796B" w:rsidRPr="001E796B" w:rsidRDefault="001E796B" w:rsidP="001E796B">
      <w:pPr>
        <w:tabs>
          <w:tab w:val="left" w:pos="1152"/>
        </w:tabs>
        <w:jc w:val="both"/>
        <w:rPr>
          <w:sz w:val="28"/>
        </w:rPr>
      </w:pPr>
      <w:r>
        <w:rPr>
          <w:sz w:val="28"/>
        </w:rPr>
        <w:t xml:space="preserve">           4. Настоящее постановление вступает в силу после его официального опубликов</w:t>
      </w:r>
      <w:r>
        <w:rPr>
          <w:sz w:val="28"/>
        </w:rPr>
        <w:t>а</w:t>
      </w:r>
      <w:r>
        <w:rPr>
          <w:sz w:val="28"/>
        </w:rPr>
        <w:t>ния (обнародования).</w:t>
      </w:r>
    </w:p>
    <w:p w:rsidR="001E796B" w:rsidRDefault="001E796B" w:rsidP="001E796B">
      <w:pPr>
        <w:jc w:val="both"/>
        <w:rPr>
          <w:sz w:val="28"/>
          <w:szCs w:val="28"/>
        </w:rPr>
      </w:pPr>
    </w:p>
    <w:p w:rsidR="001E796B" w:rsidRDefault="001E796B" w:rsidP="001E796B">
      <w:pPr>
        <w:jc w:val="both"/>
        <w:rPr>
          <w:sz w:val="28"/>
          <w:szCs w:val="28"/>
        </w:rPr>
      </w:pPr>
    </w:p>
    <w:p w:rsidR="001E796B" w:rsidRPr="003C693D" w:rsidRDefault="001E796B" w:rsidP="001E796B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707091" w:rsidRPr="001E796B" w:rsidRDefault="001E796B" w:rsidP="001E796B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sectPr w:rsidR="00707091" w:rsidRPr="001E796B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C5B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796B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24D4D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E796B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3F79F2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1DA6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61632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96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E796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9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796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1E79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1E79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7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9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2019-12-11T06:49:00Z</dcterms:created>
  <dcterms:modified xsi:type="dcterms:W3CDTF">2019-12-11T07:30:00Z</dcterms:modified>
</cp:coreProperties>
</file>