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A0" w:rsidRPr="00F035A0" w:rsidRDefault="00F035A0" w:rsidP="00F035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F035A0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Гарантийный фонд Саратовской области</w:t>
      </w:r>
    </w:p>
    <w:p w:rsidR="00F035A0" w:rsidRPr="00F035A0" w:rsidRDefault="00F035A0" w:rsidP="00F035A0">
      <w:pPr>
        <w:shd w:val="clear" w:color="auto" w:fill="FFFFFF"/>
        <w:spacing w:after="0" w:line="3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1905000" cy="1095375"/>
            <wp:effectExtent l="19050" t="0" r="0" b="0"/>
            <wp:docPr id="1" name="Рисунок 1" descr="http://marxmsp.ru/assets/images/formi-podderjki/garantiinii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xmsp.ru/assets/images/formi-podderjki/garantiiniifo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облегчения доступа малых предприятий к кредитным продуктам в 2007 году был сформирован</w:t>
      </w:r>
      <w:r w:rsidRPr="00F035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tgtFrame="_blank" w:history="1">
        <w:r w:rsidRPr="00F035A0">
          <w:rPr>
            <w:rFonts w:ascii="Times New Roman" w:eastAsia="Times New Roman" w:hAnsi="Times New Roman" w:cs="Times New Roman"/>
            <w:color w:val="0153C2"/>
            <w:sz w:val="27"/>
            <w:u w:val="single"/>
            <w:lang w:eastAsia="ru-RU"/>
          </w:rPr>
          <w:t>Гарантийный фонд Саратовской области</w:t>
        </w:r>
      </w:hyperlink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Единственным </w:t>
      </w:r>
      <w:proofErr w:type="gramStart"/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акционером</w:t>
      </w:r>
      <w:proofErr w:type="gramEnd"/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которого является Правительство Саратовской области в лице министерства экономического развития и торговли области.</w:t>
      </w:r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035A0" w:rsidRPr="00F035A0" w:rsidRDefault="00F035A0" w:rsidP="00F035A0">
      <w:pPr>
        <w:shd w:val="clear" w:color="auto" w:fill="FFFFFF"/>
        <w:spacing w:after="0" w:line="3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Фонд предоставляет поручительства (обеспечивает залог) по кредитным обязательствам субъектов малого и среднего предпринимательства перед банками, </w:t>
      </w:r>
      <w:proofErr w:type="spellStart"/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микрофинансовыми</w:t>
      </w:r>
      <w:proofErr w:type="spellEnd"/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организациями, лизинговыми компаниями.</w:t>
      </w:r>
      <w:r w:rsidRPr="00F035A0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F035A0" w:rsidRPr="00F035A0" w:rsidRDefault="00F035A0" w:rsidP="00F035A0">
      <w:pPr>
        <w:shd w:val="clear" w:color="auto" w:fill="FFFFFF"/>
        <w:spacing w:after="0" w:line="30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Процедура получения поручительства крайне проста и не требует предварительного обращения в Фонд. Решение о выдаче поручительства принимается всего в течение 3 дней после поступления заявки в Фонд. Предпринимателю достаточно обратиться в банк, </w:t>
      </w:r>
      <w:proofErr w:type="spellStart"/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микрофинансовую</w:t>
      </w:r>
      <w:proofErr w:type="spellEnd"/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организацию, лизинговую компанию и при возникновении ситуации с недостаточностью залога воспользоваться гарантией Фонда.</w:t>
      </w:r>
    </w:p>
    <w:p w:rsidR="00F035A0" w:rsidRPr="00F035A0" w:rsidRDefault="00F035A0" w:rsidP="00F035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F035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УСЛОВИЯ ПРЕДОСТАВЛЕНИЯ ПОРУЧИТЕЛЬСТВА</w:t>
      </w:r>
    </w:p>
    <w:tbl>
      <w:tblPr>
        <w:tblW w:w="139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2"/>
        <w:gridCol w:w="10543"/>
      </w:tblGrid>
      <w:tr w:rsidR="00F035A0" w:rsidRPr="00F035A0" w:rsidTr="00F035A0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35A0" w:rsidRPr="00F035A0" w:rsidRDefault="00F035A0" w:rsidP="00F03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Субъект малого или среднего предпринимательства должен:</w:t>
            </w:r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иметь адрес места нахождения и регистрации, а так же состоять на налоговом учете на территории на территории Саратовской области;</w:t>
            </w:r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численность работников не должна превышать 250 чел.;</w:t>
            </w:r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осуществлять хозяйственную деятельность не менее 3 месяцев;</w:t>
            </w:r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кредитный договор должен быть заключен на срок не менее 1 года и на сумму более 1 млн. руб.;</w:t>
            </w:r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не иметь на дату обращения нарушений условий ранее заключенных кредитных договоров;</w:t>
            </w:r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не иметь на дату обращения просроченной задолженности  по уплате налогов и сборов перед бюджетами всех уровней;</w:t>
            </w:r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предоставить обеспечение кредита или банковской гарантии в размере не менее 30% </w:t>
            </w: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от суммы своих обязательств в части </w:t>
            </w:r>
            <w:proofErr w:type="gramStart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возврата</w:t>
            </w:r>
            <w:proofErr w:type="gramEnd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фактически полученной суммы кредита и уплаты процентов на нее или суммы банковской гарантии;</w:t>
            </w:r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предоставить обеспечение приобретения основных сре</w:t>
            </w:r>
            <w:proofErr w:type="gramStart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дств в ф</w:t>
            </w:r>
            <w:proofErr w:type="gramEnd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орме лизинга в размере не менее 50% от суммы своих обязательств в части возврата лизинговых платежей в части погашения стоимости предмета лизинга;</w:t>
            </w:r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уплатить Фонду в установленном договором поручительства порядке вознаграждение за получение поручительства Фонда.</w:t>
            </w:r>
          </w:p>
          <w:p w:rsidR="00F035A0" w:rsidRPr="00F035A0" w:rsidRDefault="00F035A0" w:rsidP="00F035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Максимальная ответственность Фонда по договору поручительства не может превышать 50 (пятидесяти) % от суммы не исполненных Заемщиком обязательств по заключенному договору на момент возникновения просроченной задолженности по договору, обеспеченному поручительством Фонда.</w:t>
            </w:r>
          </w:p>
        </w:tc>
      </w:tr>
      <w:tr w:rsidR="00F035A0" w:rsidRPr="00F035A0" w:rsidTr="00F035A0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35A0" w:rsidRPr="00F035A0" w:rsidRDefault="00F035A0" w:rsidP="00F03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Партнеры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ОАО «Сбербанк России»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7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www.sbrf.ru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КБ «</w:t>
            </w:r>
            <w:proofErr w:type="spellStart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Росэнергобанк</w:t>
            </w:r>
            <w:proofErr w:type="spellEnd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(ЗАО)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8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www.rosenergobank.ru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ОАО «</w:t>
            </w:r>
            <w:proofErr w:type="spellStart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Россельхозбанк</w:t>
            </w:r>
            <w:proofErr w:type="spellEnd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9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www.rshb.ru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4. ЗАО АКБ «Экспресс – Волга»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10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www.volgaex.ru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 ООО «</w:t>
            </w:r>
            <w:proofErr w:type="spellStart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ЭкономЛизинг</w:t>
            </w:r>
            <w:proofErr w:type="spellEnd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11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www.economleasing.ru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 ОАО «АИКБ «</w:t>
            </w:r>
            <w:proofErr w:type="spellStart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Татфондбанк</w:t>
            </w:r>
            <w:proofErr w:type="spellEnd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12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www.tfb.ru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 АКБ «</w:t>
            </w:r>
            <w:proofErr w:type="spellStart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Инвестторгбанк</w:t>
            </w:r>
            <w:proofErr w:type="spellEnd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(ОАО)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13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www.itb.ru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8.НО «Фонд </w:t>
            </w:r>
            <w:proofErr w:type="spellStart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микрокредитования</w:t>
            </w:r>
            <w:proofErr w:type="spellEnd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субъектовмалого</w:t>
            </w:r>
            <w:proofErr w:type="spellEnd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предпринимательствав</w:t>
            </w:r>
            <w:proofErr w:type="spellEnd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Саратовской области»</w:t>
            </w:r>
            <w:proofErr w:type="spellStart"/>
            <w:r w:rsidRPr="00F035A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begin"/>
            </w:r>
            <w:r w:rsidRPr="00F035A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 xml:space="preserve"> HYPERLINK "http://www.fmco.ru/" </w:instrText>
            </w:r>
            <w:r w:rsidRPr="00F035A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separate"/>
            </w:r>
            <w:r w:rsidRPr="00F035A0">
              <w:rPr>
                <w:rFonts w:ascii="Times New Roman" w:eastAsia="Times New Roman" w:hAnsi="Times New Roman" w:cs="Times New Roman"/>
                <w:color w:val="0000FF"/>
                <w:sz w:val="36"/>
                <w:u w:val="single"/>
                <w:lang w:eastAsia="ru-RU"/>
              </w:rPr>
              <w:t>www.fmco.ru</w:t>
            </w:r>
            <w:proofErr w:type="spellEnd"/>
            <w:r w:rsidRPr="00F035A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end"/>
            </w:r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 ПАО «Ханты-Мансийский банк Открытие»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14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www.openbank.ru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 ЗАО «ГЛОБЭКСБАНК»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15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www.globexbank.ru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АКБ «Московский Индустриальный банк» (ОАО)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16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www.minbank.ru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«</w:t>
            </w:r>
            <w:proofErr w:type="spellStart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Внешпромбанк</w:t>
            </w:r>
            <w:proofErr w:type="spellEnd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17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www.feib.ru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ОАО «РОСТ БАНК»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18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www.rostbank.ru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14. ОАО «</w:t>
            </w:r>
            <w:proofErr w:type="spellStart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НВКбанк</w:t>
            </w:r>
            <w:proofErr w:type="spellEnd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19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www.nvkbank.ru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 ООО КБ «</w:t>
            </w:r>
            <w:proofErr w:type="spellStart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Новопокровский</w:t>
            </w:r>
            <w:proofErr w:type="spellEnd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20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www.banknp.ru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 ООО «ИНРЕСБАНК»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21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www.inresbank.ru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 ОАО «</w:t>
            </w:r>
            <w:proofErr w:type="spellStart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АктивКапитал</w:t>
            </w:r>
            <w:proofErr w:type="spellEnd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Банк»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22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www.acbank.ru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 АКБ «ВЕК» (ЗАО)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23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www.vek.ru</w:t>
              </w:r>
            </w:hyperlink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ООО КБ «</w:t>
            </w:r>
            <w:proofErr w:type="spellStart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Агросоюз</w:t>
            </w:r>
            <w:proofErr w:type="spellEnd"/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24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www.asbank.ru</w:t>
              </w:r>
            </w:hyperlink>
          </w:p>
          <w:p w:rsidR="00F035A0" w:rsidRPr="00F035A0" w:rsidRDefault="00F035A0" w:rsidP="00F035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ОАО «СМП Банк»</w:t>
            </w:r>
            <w:r w:rsidRPr="00F035A0">
              <w:rPr>
                <w:rFonts w:ascii="Times New Roman" w:eastAsia="Times New Roman" w:hAnsi="Times New Roman" w:cs="Times New Roman"/>
                <w:sz w:val="27"/>
                <w:lang w:eastAsia="ru-RU"/>
              </w:rPr>
              <w:t> </w:t>
            </w:r>
            <w:hyperlink r:id="rId25" w:history="1">
              <w:r w:rsidRPr="00F035A0">
                <w:rPr>
                  <w:rFonts w:ascii="Times New Roman" w:eastAsia="Times New Roman" w:hAnsi="Times New Roman" w:cs="Times New Roman"/>
                  <w:color w:val="0000FF"/>
                  <w:sz w:val="36"/>
                  <w:u w:val="single"/>
                  <w:lang w:eastAsia="ru-RU"/>
                </w:rPr>
                <w:t>www.smpbank.ru</w:t>
              </w:r>
            </w:hyperlink>
          </w:p>
        </w:tc>
      </w:tr>
      <w:tr w:rsidR="00F035A0" w:rsidRPr="00F035A0" w:rsidTr="00F035A0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35A0" w:rsidRPr="00F035A0" w:rsidRDefault="00F035A0" w:rsidP="00F03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Не предоставляется поручительство на следующие цели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по кредитным договорам (договорам займа), получаемым на цели проведения расчетов по заработной плате, налоговых и иных обязательных платежей, оплате текущих расходов по обслуживанию кредитов, займов или договоров лизинга и иные цели, не связанные, по мнению Фонда, с осуществлением Заемщиком основной деятельности;</w:t>
            </w:r>
          </w:p>
          <w:p w:rsidR="00F035A0" w:rsidRPr="00F035A0" w:rsidRDefault="00F035A0" w:rsidP="00F03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по лизинговым договорам, заключенным на цели приобретения легкового автомобиля;</w:t>
            </w:r>
          </w:p>
          <w:p w:rsidR="00F035A0" w:rsidRPr="00F035A0" w:rsidRDefault="00F035A0" w:rsidP="00F035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занимающимся игорным бизнесом, производством и реализацией подакцизных товаров, а также добычей и реализацией полезных ископаемых (за исключением общераспространенных полезных ископаемых);</w:t>
            </w:r>
          </w:p>
        </w:tc>
      </w:tr>
      <w:tr w:rsidR="00F035A0" w:rsidRPr="00F035A0" w:rsidTr="00F035A0">
        <w:trPr>
          <w:tblCellSpacing w:w="0" w:type="dxa"/>
        </w:trPr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35A0" w:rsidRPr="00F035A0" w:rsidRDefault="00F035A0" w:rsidP="00F035A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Необходимые документы для получения поручительства</w:t>
            </w:r>
          </w:p>
        </w:tc>
        <w:tc>
          <w:tcPr>
            <w:tcW w:w="7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035A0" w:rsidRPr="00F035A0" w:rsidRDefault="00F035A0" w:rsidP="00F035A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согласии Заемщика получить Поручительство Фонда (заключить договор поручительства) Финансовая организация в срок не позднее 2 (двух) рабочих дней с момента изъявления такого согласия направляет в Фонд подписанную Заемщиком и согласованную с Финансовой организацией Заявку на получение Поручительства Фонда, Заявка на получение поручительства.</w:t>
            </w:r>
          </w:p>
          <w:p w:rsidR="00F035A0" w:rsidRPr="00F035A0" w:rsidRDefault="00F035A0" w:rsidP="00F035A0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Одновременно с указанной выше Заявкой Финансовая организация направляет в Фонд документы:</w:t>
            </w:r>
          </w:p>
          <w:p w:rsidR="00F035A0" w:rsidRPr="00F035A0" w:rsidRDefault="00F035A0" w:rsidP="00F035A0">
            <w:pPr>
              <w:numPr>
                <w:ilvl w:val="0"/>
                <w:numId w:val="1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Копия заявления Заемщика на получение кредита/банковской гарантии/займа.</w:t>
            </w:r>
          </w:p>
          <w:p w:rsidR="00F035A0" w:rsidRPr="00F035A0" w:rsidRDefault="00F035A0" w:rsidP="00F035A0">
            <w:pPr>
              <w:numPr>
                <w:ilvl w:val="0"/>
                <w:numId w:val="1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Копия анкеты Заемщика (если она не совмещена с заявлением Заемщика на получение кредита/банковской гарантии/займа).</w:t>
            </w:r>
          </w:p>
          <w:p w:rsidR="00F035A0" w:rsidRPr="00F035A0" w:rsidRDefault="00F035A0" w:rsidP="00F035A0">
            <w:pPr>
              <w:numPr>
                <w:ilvl w:val="0"/>
                <w:numId w:val="1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Выписка из решения уполномоченного органа (лица) Финансовой организации при условии получения поручительства Фонда, с указанием всех существенных условий предоставления кредита/банковской гарантии/займа, в том числе наличия обеспечения.</w:t>
            </w:r>
          </w:p>
          <w:p w:rsidR="00F035A0" w:rsidRPr="00F035A0" w:rsidRDefault="00F035A0" w:rsidP="00F035A0">
            <w:pPr>
              <w:numPr>
                <w:ilvl w:val="0"/>
                <w:numId w:val="1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Копия заключения о финансовом состоянии Заемщика или мотивированного суждения Финансовой организац</w:t>
            </w:r>
            <w:proofErr w:type="gramStart"/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ии о е</w:t>
            </w:r>
            <w:proofErr w:type="gramEnd"/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го финансовом состоянии и  решения Финансовой организации об отнесении кредита к определенной категории качества, содержащие:</w:t>
            </w:r>
          </w:p>
          <w:p w:rsidR="00F035A0" w:rsidRPr="00F035A0" w:rsidRDefault="00F035A0" w:rsidP="00F035A0">
            <w:pPr>
              <w:numPr>
                <w:ilvl w:val="1"/>
                <w:numId w:val="2"/>
              </w:numPr>
              <w:spacing w:after="0" w:line="300" w:lineRule="atLeast"/>
              <w:ind w:left="60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общую характеристику Заемщика;</w:t>
            </w:r>
          </w:p>
          <w:p w:rsidR="00F035A0" w:rsidRPr="00F035A0" w:rsidRDefault="00F035A0" w:rsidP="00F035A0">
            <w:pPr>
              <w:numPr>
                <w:ilvl w:val="1"/>
                <w:numId w:val="2"/>
              </w:numPr>
              <w:spacing w:after="0" w:line="300" w:lineRule="atLeast"/>
              <w:ind w:left="60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финансового состояния Заемщика;</w:t>
            </w:r>
          </w:p>
          <w:p w:rsidR="00F035A0" w:rsidRPr="00F035A0" w:rsidRDefault="00F035A0" w:rsidP="00F035A0">
            <w:pPr>
              <w:numPr>
                <w:ilvl w:val="1"/>
                <w:numId w:val="2"/>
              </w:numPr>
              <w:spacing w:after="0" w:line="300" w:lineRule="atLeast"/>
              <w:ind w:left="60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кредитную историю Заемщика;</w:t>
            </w:r>
          </w:p>
          <w:p w:rsidR="00F035A0" w:rsidRPr="00F035A0" w:rsidRDefault="00F035A0" w:rsidP="00F035A0">
            <w:pPr>
              <w:numPr>
                <w:ilvl w:val="1"/>
                <w:numId w:val="2"/>
              </w:numPr>
              <w:spacing w:after="0" w:line="300" w:lineRule="atLeast"/>
              <w:ind w:left="60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оборотов по расчетным, текущим счетам;</w:t>
            </w:r>
          </w:p>
          <w:p w:rsidR="00F035A0" w:rsidRPr="00F035A0" w:rsidRDefault="00F035A0" w:rsidP="00F035A0">
            <w:pPr>
              <w:numPr>
                <w:ilvl w:val="1"/>
                <w:numId w:val="2"/>
              </w:numPr>
              <w:spacing w:after="0" w:line="300" w:lineRule="atLeast"/>
              <w:ind w:left="60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бизнес-плана/технико-экономического обоснования (при наличии);</w:t>
            </w:r>
          </w:p>
          <w:p w:rsidR="00F035A0" w:rsidRPr="00F035A0" w:rsidRDefault="00F035A0" w:rsidP="00F035A0">
            <w:pPr>
              <w:numPr>
                <w:ilvl w:val="1"/>
                <w:numId w:val="2"/>
              </w:numPr>
              <w:spacing w:after="0" w:line="300" w:lineRule="atLeast"/>
              <w:ind w:left="60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кредитуемой сделки;</w:t>
            </w:r>
          </w:p>
          <w:p w:rsidR="00F035A0" w:rsidRPr="00F035A0" w:rsidRDefault="00F035A0" w:rsidP="00F035A0">
            <w:pPr>
              <w:numPr>
                <w:ilvl w:val="1"/>
                <w:numId w:val="2"/>
              </w:numPr>
              <w:spacing w:after="0" w:line="300" w:lineRule="atLeast"/>
              <w:ind w:left="60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оценку рисков;</w:t>
            </w:r>
          </w:p>
          <w:p w:rsidR="00F035A0" w:rsidRPr="00F035A0" w:rsidRDefault="00F035A0" w:rsidP="00F035A0">
            <w:pPr>
              <w:numPr>
                <w:ilvl w:val="1"/>
                <w:numId w:val="2"/>
              </w:numPr>
              <w:spacing w:after="0" w:line="300" w:lineRule="atLeast"/>
              <w:ind w:left="600" w:right="1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анализ обеспечения.</w:t>
            </w:r>
          </w:p>
          <w:p w:rsidR="00F035A0" w:rsidRPr="00F035A0" w:rsidRDefault="00F035A0" w:rsidP="00F035A0">
            <w:pPr>
              <w:numPr>
                <w:ilvl w:val="0"/>
                <w:numId w:val="2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Копия выписки Заемщика из ЕГРЮЛ для юридических лиц, из ЕГРИП для индивидуальных предпринимателей, со сроком получения не более 2 (двух) месяцев до даты подачи заявки в Фонд.</w:t>
            </w:r>
          </w:p>
          <w:p w:rsidR="00F035A0" w:rsidRPr="00F035A0" w:rsidRDefault="00F035A0" w:rsidP="00F035A0">
            <w:pPr>
              <w:numPr>
                <w:ilvl w:val="0"/>
                <w:numId w:val="2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Копия справки из налогового органа об отсутствии задолженности по начисленным налогам, сборам и иным обязательным платежам перед бюджетами всех уровней давностью не более 30 календарных дней перед датой обращения в Фонд.</w:t>
            </w:r>
          </w:p>
          <w:p w:rsidR="00F035A0" w:rsidRPr="00F035A0" w:rsidRDefault="00F035A0" w:rsidP="00F035A0">
            <w:pPr>
              <w:numPr>
                <w:ilvl w:val="0"/>
                <w:numId w:val="2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Копия справки из налоговых органов об открытых/закрытых расчетных счетах.</w:t>
            </w:r>
          </w:p>
          <w:p w:rsidR="00F035A0" w:rsidRPr="00F035A0" w:rsidRDefault="00F035A0" w:rsidP="00F035A0">
            <w:pPr>
              <w:numPr>
                <w:ilvl w:val="0"/>
                <w:numId w:val="2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Копия свидетельства о внесении записи в ЕГРЮЛ либо ЕГРИП.</w:t>
            </w:r>
          </w:p>
          <w:p w:rsidR="00F035A0" w:rsidRPr="00F035A0" w:rsidRDefault="00F035A0" w:rsidP="00F035A0">
            <w:pPr>
              <w:numPr>
                <w:ilvl w:val="0"/>
                <w:numId w:val="2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Копия свидетельства о постановке Заемщика на налоговый учет.</w:t>
            </w:r>
          </w:p>
          <w:p w:rsidR="00F035A0" w:rsidRPr="00F035A0" w:rsidRDefault="00F035A0" w:rsidP="00F035A0">
            <w:pPr>
              <w:numPr>
                <w:ilvl w:val="0"/>
                <w:numId w:val="2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Сведения о наличии лицензий (разрешений на осуществление определенного вида деятельности) – номер, дата выдачи, кем выдана и на какой вид деятельности.</w:t>
            </w:r>
          </w:p>
          <w:p w:rsidR="00F035A0" w:rsidRPr="00F035A0" w:rsidRDefault="00F035A0" w:rsidP="00F035A0">
            <w:pPr>
              <w:numPr>
                <w:ilvl w:val="0"/>
                <w:numId w:val="2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Расчет плановой суммы процентов по кредитному договору, график погашения кредита в соответствии с утвержденными методиками Финансовой организации.</w:t>
            </w:r>
          </w:p>
          <w:p w:rsidR="00F035A0" w:rsidRPr="00F035A0" w:rsidRDefault="00F035A0" w:rsidP="00F035A0">
            <w:pPr>
              <w:numPr>
                <w:ilvl w:val="0"/>
                <w:numId w:val="2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Копия бухгалтерского баланса и отчета о финансовых результатах Заемщика на последние 5 отчетных дат или документы, их заменяющие, в случае применения </w:t>
            </w: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специальных режимов налогообложения (с отметкой о принятии налогового органа, заверенные печатью субъекта малого и среднего предпринимательства и подписью его руководителя, в случае отправки отчетности по почте представляются копии почтовых уведомлений об отправке, по электронной почте – протоколы входного контроля) и</w:t>
            </w:r>
            <w:proofErr w:type="gramEnd"/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промежуточные отчеты (если таковые имеются).</w:t>
            </w:r>
          </w:p>
          <w:p w:rsidR="00F035A0" w:rsidRPr="00F035A0" w:rsidRDefault="00F035A0" w:rsidP="00F035A0">
            <w:pPr>
              <w:numPr>
                <w:ilvl w:val="0"/>
                <w:numId w:val="2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Копии расшифровки дебиторской и кредиторской задолженности по статьям бухгалтерского баланса на последнюю отчетную дату.</w:t>
            </w:r>
          </w:p>
          <w:p w:rsidR="00F035A0" w:rsidRPr="00F035A0" w:rsidRDefault="00F035A0" w:rsidP="00F035A0">
            <w:pPr>
              <w:numPr>
                <w:ilvl w:val="0"/>
                <w:numId w:val="2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Копия паспорта руководителя предприятия, учредителя, участника/акционера Заемщика (индивидуального предпринимателя).</w:t>
            </w:r>
          </w:p>
          <w:p w:rsidR="00F035A0" w:rsidRPr="00F035A0" w:rsidRDefault="00F035A0" w:rsidP="00F035A0">
            <w:pPr>
              <w:numPr>
                <w:ilvl w:val="0"/>
                <w:numId w:val="2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Копия паспортов всех поручителей по кредитному договору (договору о предоставлении банковской гарантии, займа).</w:t>
            </w:r>
          </w:p>
          <w:p w:rsidR="00F035A0" w:rsidRPr="00F035A0" w:rsidRDefault="00F035A0" w:rsidP="00F035A0">
            <w:pPr>
              <w:numPr>
                <w:ilvl w:val="0"/>
                <w:numId w:val="2"/>
              </w:numPr>
              <w:spacing w:after="0" w:line="300" w:lineRule="atLeast"/>
              <w:ind w:left="3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Иные документы по усмотрению Финансовой организации.</w:t>
            </w:r>
          </w:p>
          <w:p w:rsidR="00F035A0" w:rsidRPr="00F035A0" w:rsidRDefault="00F035A0" w:rsidP="00F035A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F035A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копии документов должны быть удостоверены оттиском штампа (печати) Финансовой организации и подписью уполномоченного сотрудника Финансовой организации.</w:t>
            </w:r>
          </w:p>
        </w:tc>
      </w:tr>
    </w:tbl>
    <w:p w:rsidR="00F035A0" w:rsidRPr="00F035A0" w:rsidRDefault="00F035A0" w:rsidP="00F03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Гарантийный фонд для субъектов малого предпринимательства Саратовской области</w:t>
      </w:r>
    </w:p>
    <w:p w:rsidR="00F035A0" w:rsidRPr="00F035A0" w:rsidRDefault="00F035A0" w:rsidP="00F035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Адрес: </w:t>
      </w:r>
      <w:hyperlink r:id="rId26" w:history="1">
        <w:r w:rsidRPr="00F035A0">
          <w:rPr>
            <w:rFonts w:ascii="Times New Roman" w:eastAsia="Times New Roman" w:hAnsi="Times New Roman" w:cs="Times New Roman"/>
            <w:color w:val="0153C2"/>
            <w:sz w:val="36"/>
            <w:u w:val="single"/>
            <w:lang w:eastAsia="ru-RU"/>
          </w:rPr>
          <w:t>410017, Саратовская область, г</w:t>
        </w:r>
        <w:proofErr w:type="gramStart"/>
        <w:r w:rsidRPr="00F035A0">
          <w:rPr>
            <w:rFonts w:ascii="Times New Roman" w:eastAsia="Times New Roman" w:hAnsi="Times New Roman" w:cs="Times New Roman"/>
            <w:color w:val="0153C2"/>
            <w:sz w:val="36"/>
            <w:u w:val="single"/>
            <w:lang w:eastAsia="ru-RU"/>
          </w:rPr>
          <w:t>.С</w:t>
        </w:r>
        <w:proofErr w:type="gramEnd"/>
        <w:r w:rsidRPr="00F035A0">
          <w:rPr>
            <w:rFonts w:ascii="Times New Roman" w:eastAsia="Times New Roman" w:hAnsi="Times New Roman" w:cs="Times New Roman"/>
            <w:color w:val="0153C2"/>
            <w:sz w:val="36"/>
            <w:u w:val="single"/>
            <w:lang w:eastAsia="ru-RU"/>
          </w:rPr>
          <w:t xml:space="preserve">аратов, ул. Шелковичная, 37/45, </w:t>
        </w:r>
        <w:proofErr w:type="spellStart"/>
        <w:r w:rsidRPr="00F035A0">
          <w:rPr>
            <w:rFonts w:ascii="Times New Roman" w:eastAsia="Times New Roman" w:hAnsi="Times New Roman" w:cs="Times New Roman"/>
            <w:color w:val="0153C2"/>
            <w:sz w:val="36"/>
            <w:u w:val="single"/>
            <w:lang w:eastAsia="ru-RU"/>
          </w:rPr>
          <w:t>оф</w:t>
        </w:r>
        <w:proofErr w:type="spellEnd"/>
        <w:r w:rsidRPr="00F035A0">
          <w:rPr>
            <w:rFonts w:ascii="Times New Roman" w:eastAsia="Times New Roman" w:hAnsi="Times New Roman" w:cs="Times New Roman"/>
            <w:color w:val="0153C2"/>
            <w:sz w:val="36"/>
            <w:u w:val="single"/>
            <w:lang w:eastAsia="ru-RU"/>
          </w:rPr>
          <w:t>. 1310</w:t>
        </w:r>
      </w:hyperlink>
    </w:p>
    <w:p w:rsidR="00F035A0" w:rsidRPr="00F035A0" w:rsidRDefault="00F035A0" w:rsidP="00F035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Телефон: +7 (8452) 47-43-09</w:t>
      </w:r>
    </w:p>
    <w:p w:rsidR="00F035A0" w:rsidRPr="00F035A0" w:rsidRDefault="00F035A0" w:rsidP="00F035A0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E-mail</w:t>
      </w:r>
      <w:proofErr w:type="spellEnd"/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27" w:history="1">
        <w:r w:rsidRPr="00F035A0">
          <w:rPr>
            <w:rFonts w:ascii="Times New Roman" w:eastAsia="Times New Roman" w:hAnsi="Times New Roman" w:cs="Times New Roman"/>
            <w:color w:val="0153C2"/>
            <w:sz w:val="36"/>
            <w:u w:val="single"/>
            <w:lang w:eastAsia="ru-RU"/>
          </w:rPr>
          <w:t>garantfond@mail.ru</w:t>
        </w:r>
      </w:hyperlink>
      <w:r w:rsidRPr="00F03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sectPr w:rsidR="00F035A0" w:rsidRPr="00F035A0" w:rsidSect="00F035A0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32A31"/>
    <w:multiLevelType w:val="multilevel"/>
    <w:tmpl w:val="950A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10207C"/>
    <w:multiLevelType w:val="multilevel"/>
    <w:tmpl w:val="7F7C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35A0"/>
    <w:rsid w:val="00F035A0"/>
    <w:rsid w:val="00F0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94"/>
  </w:style>
  <w:style w:type="paragraph" w:styleId="1">
    <w:name w:val="heading 1"/>
    <w:basedOn w:val="a"/>
    <w:link w:val="10"/>
    <w:uiPriority w:val="9"/>
    <w:qFormat/>
    <w:rsid w:val="00F035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35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035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5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3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35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03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5A0"/>
  </w:style>
  <w:style w:type="character" w:styleId="a4">
    <w:name w:val="Hyperlink"/>
    <w:basedOn w:val="a0"/>
    <w:uiPriority w:val="99"/>
    <w:semiHidden/>
    <w:unhideWhenUsed/>
    <w:rsid w:val="00F03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4620">
                  <w:marLeft w:val="0"/>
                  <w:marRight w:val="0"/>
                  <w:marTop w:val="30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8782">
                          <w:marLeft w:val="450"/>
                          <w:marRight w:val="4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6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10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4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8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6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3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05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4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9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9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bank.ru/" TargetMode="External"/><Relationship Id="rId13" Type="http://schemas.openxmlformats.org/officeDocument/2006/relationships/hyperlink" Target="http://www.itb.ru/?setregion=%D1%E0%F0%E0%F2%EE%E2" TargetMode="External"/><Relationship Id="rId18" Type="http://schemas.openxmlformats.org/officeDocument/2006/relationships/hyperlink" Target="http://saratov.rostbank.ru/" TargetMode="External"/><Relationship Id="rId26" Type="http://schemas.openxmlformats.org/officeDocument/2006/relationships/hyperlink" Target="http://saratovgarantfond.ru/contac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resbank.ru/" TargetMode="External"/><Relationship Id="rId7" Type="http://schemas.openxmlformats.org/officeDocument/2006/relationships/hyperlink" Target="http://sberbank.ru/saratov/ru/" TargetMode="External"/><Relationship Id="rId12" Type="http://schemas.openxmlformats.org/officeDocument/2006/relationships/hyperlink" Target="http://www.tfb.ru/" TargetMode="External"/><Relationship Id="rId17" Type="http://schemas.openxmlformats.org/officeDocument/2006/relationships/hyperlink" Target="http://www.feib.ru/" TargetMode="External"/><Relationship Id="rId25" Type="http://schemas.openxmlformats.org/officeDocument/2006/relationships/hyperlink" Target="http://smpban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nbank.ru/" TargetMode="External"/><Relationship Id="rId20" Type="http://schemas.openxmlformats.org/officeDocument/2006/relationships/hyperlink" Target="http://www.banknp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aratovgarantfond.ru/" TargetMode="External"/><Relationship Id="rId11" Type="http://schemas.openxmlformats.org/officeDocument/2006/relationships/hyperlink" Target="http://economleasing.ru/" TargetMode="External"/><Relationship Id="rId24" Type="http://schemas.openxmlformats.org/officeDocument/2006/relationships/hyperlink" Target="http://www.asbank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lobexbank.ru/index.php" TargetMode="External"/><Relationship Id="rId23" Type="http://schemas.openxmlformats.org/officeDocument/2006/relationships/hyperlink" Target="http://vek.ru/index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olgaex.ru/" TargetMode="External"/><Relationship Id="rId19" Type="http://schemas.openxmlformats.org/officeDocument/2006/relationships/hyperlink" Target="http://www.nvkba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hb.ru/" TargetMode="External"/><Relationship Id="rId14" Type="http://schemas.openxmlformats.org/officeDocument/2006/relationships/hyperlink" Target="http://www.openbank.ru/" TargetMode="External"/><Relationship Id="rId22" Type="http://schemas.openxmlformats.org/officeDocument/2006/relationships/hyperlink" Target="http://acbank.ru/saratov/" TargetMode="External"/><Relationship Id="rId27" Type="http://schemas.openxmlformats.org/officeDocument/2006/relationships/hyperlink" Target="mailto:garant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2016-07-29T08:08:00Z</dcterms:created>
  <dcterms:modified xsi:type="dcterms:W3CDTF">2016-07-29T08:10:00Z</dcterms:modified>
</cp:coreProperties>
</file>