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40" w:firstLine="1248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501364" w:rsidRDefault="00E362AD">
      <w:pPr>
        <w:spacing w:after="0" w:line="240" w:lineRule="auto"/>
        <w:ind w:right="-171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5bu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01364" w:rsidRDefault="0050136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</w:rPr>
      </w:pPr>
    </w:p>
    <w:p w:rsidR="00501364" w:rsidRPr="00E362AD" w:rsidRDefault="00E362AD">
      <w:pPr>
        <w:pStyle w:val="1"/>
        <w:keepLines w:val="0"/>
        <w:widowControl/>
        <w:spacing w:before="0"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2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501364" w:rsidRPr="00E362AD" w:rsidRDefault="00E362AD">
      <w:pPr>
        <w:pStyle w:val="2"/>
        <w:keepLines w:val="0"/>
        <w:widowControl/>
        <w:spacing w:before="0"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2AD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КРАСНОАРМЕЙСКОГО МУНИЦИПАЛЬНОГО РАЙОНА </w:t>
      </w:r>
    </w:p>
    <w:p w:rsidR="00501364" w:rsidRPr="00E362AD" w:rsidRDefault="00E362AD">
      <w:pPr>
        <w:pStyle w:val="2"/>
        <w:keepLines w:val="0"/>
        <w:widowControl/>
        <w:spacing w:before="0"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2AD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501364" w:rsidRDefault="00501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SimSun" w:hAnsi="Times New Roman"/>
          <w:color w:val="333333"/>
          <w:kern w:val="1"/>
          <w:sz w:val="28"/>
          <w:szCs w:val="28"/>
        </w:rPr>
      </w:pP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SimSun" w:hAnsi="Times New Roman"/>
          <w:b/>
          <w:bCs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333333"/>
          <w:kern w:val="1"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927" w:type="dxa"/>
        <w:tblLook w:val="0000" w:firstRow="0" w:lastRow="0" w:firstColumn="0" w:lastColumn="0" w:noHBand="0" w:noVBand="0"/>
      </w:tblPr>
      <w:tblGrid>
        <w:gridCol w:w="540"/>
        <w:gridCol w:w="2687"/>
        <w:gridCol w:w="540"/>
        <w:gridCol w:w="2160"/>
      </w:tblGrid>
      <w:tr w:rsidR="00E362AD" w:rsidRPr="00E362AD" w:rsidTr="008C2210">
        <w:trPr>
          <w:cantSplit/>
          <w:trHeight w:val="285"/>
        </w:trPr>
        <w:tc>
          <w:tcPr>
            <w:tcW w:w="540" w:type="dxa"/>
            <w:vMerge w:val="restart"/>
            <w:vAlign w:val="bottom"/>
          </w:tcPr>
          <w:p w:rsidR="00E362AD" w:rsidRPr="00E362AD" w:rsidRDefault="00E362AD" w:rsidP="00E3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62AD" w:rsidRPr="00E362AD" w:rsidRDefault="00E362AD" w:rsidP="00E36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E3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января 2022г.</w:t>
            </w:r>
          </w:p>
        </w:tc>
        <w:tc>
          <w:tcPr>
            <w:tcW w:w="540" w:type="dxa"/>
            <w:vMerge w:val="restart"/>
            <w:vAlign w:val="bottom"/>
          </w:tcPr>
          <w:p w:rsidR="00E362AD" w:rsidRPr="00E362AD" w:rsidRDefault="00E362AD" w:rsidP="00E36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62AD" w:rsidRPr="00E362AD" w:rsidRDefault="00E362AD" w:rsidP="00E3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E362AD" w:rsidRPr="00E362AD" w:rsidTr="008C2210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E362AD" w:rsidRPr="00E362AD" w:rsidRDefault="00E362AD" w:rsidP="00E36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362AD" w:rsidRPr="00E362AD" w:rsidRDefault="00E362AD" w:rsidP="00E36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362AD" w:rsidRPr="00E362AD" w:rsidRDefault="00E362AD" w:rsidP="00E36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362AD" w:rsidRPr="00E362AD" w:rsidRDefault="00E362AD" w:rsidP="00E362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62AD" w:rsidRPr="00E362AD" w:rsidTr="008C2210">
        <w:trPr>
          <w:cantSplit/>
          <w:trHeight w:val="135"/>
        </w:trPr>
        <w:tc>
          <w:tcPr>
            <w:tcW w:w="540" w:type="dxa"/>
          </w:tcPr>
          <w:p w:rsidR="00E362AD" w:rsidRPr="00E362AD" w:rsidRDefault="00E362AD" w:rsidP="00E3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62AD" w:rsidRPr="00E362AD" w:rsidRDefault="00E362AD" w:rsidP="00E36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362AD" w:rsidRPr="00E362AD" w:rsidRDefault="00E362AD" w:rsidP="00E3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362AD" w:rsidRPr="00E362AD" w:rsidRDefault="00E362AD" w:rsidP="00E3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362A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Красноармейск</w:t>
            </w:r>
          </w:p>
        </w:tc>
      </w:tr>
    </w:tbl>
    <w:p w:rsidR="00501364" w:rsidRDefault="00501364"/>
    <w:p w:rsidR="00E362AD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bookmarkStart w:id="0" w:name="_GoBack"/>
      <w:bookmarkEnd w:id="0"/>
    </w:p>
    <w:p w:rsidR="00E362AD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color w:val="333333"/>
          <w:kern w:val="1"/>
          <w:sz w:val="28"/>
          <w:szCs w:val="28"/>
        </w:rPr>
      </w:pP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Об утверждении Положения  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о 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 межведомственной   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комиссии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по рекультивации и консервации земель и земельных 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участков,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расположенных на территории поселений, входящих 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 в 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 состав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Красноармейского муниципального района</w:t>
      </w:r>
    </w:p>
    <w:p w:rsidR="00501364" w:rsidRDefault="00501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b/>
          <w:color w:val="333333"/>
          <w:kern w:val="1"/>
          <w:sz w:val="28"/>
          <w:szCs w:val="28"/>
        </w:rPr>
      </w:pPr>
    </w:p>
    <w:p w:rsidR="00501364" w:rsidRPr="00E362AD" w:rsidRDefault="00E362AD" w:rsidP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proofErr w:type="gramStart"/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тьей 13 Земельного кодекса Российской Федерации, статьей 3.3 Федерального закона от 25.10.2001 года № 137-ФЗ «О введении в действие Земельного кодекса Российской Федерации», постановлением Правительства Российской Федерации от 10.07.2018 года № 800 «О пров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едении рекультивации и консервации земель», Уставом Красноармейского муниципального района, администрация Красноармейского</w:t>
      </w:r>
      <w:proofErr w:type="gramEnd"/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 муниципального района </w:t>
      </w:r>
      <w:r w:rsidRPr="00E362AD">
        <w:rPr>
          <w:rFonts w:ascii="Times New Roman" w:eastAsia="SimSun" w:hAnsi="Times New Roman"/>
          <w:color w:val="333333"/>
          <w:kern w:val="1"/>
          <w:sz w:val="28"/>
          <w:szCs w:val="28"/>
        </w:rPr>
        <w:t>ПОСТАНОВЛЯЕТ: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1.Создать межведомственную комиссию по рекультивации и консервации земель и земельных участков, 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расположенных на территории поселений, входящих в состав Красноармейского муниципального района.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br/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ab/>
        <w:t>2.Утвердить прилагаемое Положение о межведомственной комиссии по рекультивации и консервации земель и земельных участков, расположенных на территории поселени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й, входящих в состав Красноармейского муниципального района (приложение 1).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3.Утвердить прилагаемый должностной состав межведомственной комиссии по рекультивации и консервации земель и земельных участков, расположенных на территории поселений, входящих в с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остав Красноармейского муниципального района (приложение 2).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4.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о муниципального района в информационно-коммуникационной сети «Интернет».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lastRenderedPageBreak/>
        <w:t>5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. </w:t>
      </w:r>
      <w:proofErr w:type="gramStart"/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Контроль за</w:t>
      </w:r>
      <w:proofErr w:type="gramEnd"/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6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. Настоящее постановление вступает в</w:t>
      </w: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 силу со дня его подписания.</w:t>
      </w:r>
    </w:p>
    <w:p w:rsidR="00501364" w:rsidRDefault="00501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</w:p>
    <w:p w:rsidR="00E362AD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 xml:space="preserve">Глава </w:t>
      </w:r>
      <w:proofErr w:type="gramStart"/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Красноармейского</w:t>
      </w:r>
      <w:proofErr w:type="gramEnd"/>
    </w:p>
    <w:p w:rsidR="00501364" w:rsidRDefault="00E36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333333"/>
          <w:kern w:val="1"/>
          <w:sz w:val="28"/>
          <w:szCs w:val="28"/>
        </w:rPr>
      </w:pPr>
      <w:r>
        <w:rPr>
          <w:rFonts w:ascii="Times New Roman" w:eastAsia="SimSun" w:hAnsi="Times New Roman"/>
          <w:color w:val="333333"/>
          <w:kern w:val="1"/>
          <w:sz w:val="28"/>
          <w:szCs w:val="28"/>
        </w:rPr>
        <w:t>муниципального района                                                                        А.И. Зотов</w:t>
      </w:r>
    </w:p>
    <w:p w:rsidR="00501364" w:rsidRDefault="00501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364" w:rsidRDefault="00501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Приложение 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постановлению администрации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Красноармейского  муниципального района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т 24.01.2022г.</w:t>
      </w:r>
      <w:r>
        <w:rPr>
          <w:rFonts w:ascii="Times New Roman" w:eastAsia="Times New Roman" w:hAnsi="Times New Roman"/>
        </w:rPr>
        <w:t xml:space="preserve"> №56</w:t>
      </w:r>
    </w:p>
    <w:p w:rsidR="00501364" w:rsidRDefault="00501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ПОЛОЖЕНИЕ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О МЕЖВЕДОМСТВЕННОЙ КОМИССИИ ПО РЕКУЛЬТИВАЦИИ И КОНСЕРВАЦИИ ЗЕМЕЛЬ И ЗЕМЕЛЬНЫХ УЧАСТКОВ, РАСПОЛОЖЕННЫХ НА ТЕРРИТОРИИ ПОСЕЛЕНИЙ, ВХОДЯЩИХ В СОСТАВ КРАСНОАРМЕЙСКОГО </w:t>
      </w:r>
      <w:r>
        <w:rPr>
          <w:rFonts w:ascii="Times New Roman" w:eastAsia="Times New Roman" w:hAnsi="Times New Roman"/>
          <w:b/>
          <w:sz w:val="26"/>
          <w:szCs w:val="26"/>
        </w:rPr>
        <w:t>МУНИЦИПАЛЬНОГО РАЙОНА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01364" w:rsidRDefault="00E362AD">
      <w:pPr>
        <w:pStyle w:val="a3"/>
        <w:numPr>
          <w:ilvl w:val="0"/>
          <w:numId w:val="1"/>
        </w:numPr>
        <w:spacing w:line="240" w:lineRule="auto"/>
        <w:ind w:left="502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1364" w:rsidRDefault="00501364">
      <w:pPr>
        <w:pStyle w:val="a3"/>
        <w:spacing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501364" w:rsidRDefault="00E362A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Межведомственная комиссия по рекультивации и консервации земель </w:t>
      </w:r>
      <w:r>
        <w:rPr>
          <w:rFonts w:ascii="Times New Roman" w:hAnsi="Times New Roman"/>
          <w:iCs/>
          <w:sz w:val="28"/>
          <w:szCs w:val="28"/>
        </w:rPr>
        <w:t>и земельных участков, расположенных на территории поселений, входящих в состав Красноармейского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также – Комиссия), является</w:t>
      </w:r>
      <w:r>
        <w:rPr>
          <w:rFonts w:ascii="Times New Roman" w:hAnsi="Times New Roman"/>
          <w:sz w:val="28"/>
          <w:szCs w:val="28"/>
        </w:rPr>
        <w:t xml:space="preserve"> постоянно-действующим коллегиальным совещательным органом при администрации Красноармейского муниципального района, созданным для рассмотрения вопросов, связанных с рекультивацией нарушенных, а также подвергшихся загрязнению земель и земельных участков, к</w:t>
      </w:r>
      <w:r>
        <w:rPr>
          <w:rFonts w:ascii="Times New Roman" w:hAnsi="Times New Roman"/>
          <w:sz w:val="28"/>
          <w:szCs w:val="28"/>
        </w:rPr>
        <w:t>онсервацией нарушенных земель и земельных участков, негативное воздействие на которые привело</w:t>
      </w:r>
      <w:proofErr w:type="gramEnd"/>
      <w:r>
        <w:rPr>
          <w:rFonts w:ascii="Times New Roman" w:hAnsi="Times New Roman"/>
          <w:sz w:val="28"/>
          <w:szCs w:val="28"/>
        </w:rPr>
        <w:t xml:space="preserve"> к их деградации, ухудшению экологической обстановки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нарушению почвенного слоя, в результате которых не допускается осуществление хозяйственной деятельности</w:t>
      </w:r>
      <w:r>
        <w:rPr>
          <w:rFonts w:ascii="Times New Roman" w:hAnsi="Times New Roman"/>
          <w:sz w:val="28"/>
          <w:szCs w:val="28"/>
        </w:rPr>
        <w:t>, если устранение таких последствий путем рекультивации земель невозможно в течение пятнадцати лет, расположенных на территории поселений, входящих в состав Красноармейского муниципального района (далее соответственно – рекультивация земель, консервация зе</w:t>
      </w:r>
      <w:r>
        <w:rPr>
          <w:rFonts w:ascii="Times New Roman" w:hAnsi="Times New Roman"/>
          <w:sz w:val="28"/>
          <w:szCs w:val="28"/>
        </w:rPr>
        <w:t>мель).</w:t>
      </w:r>
    </w:p>
    <w:p w:rsidR="00501364" w:rsidRDefault="00E362A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соответствии с Федеральным законом от 06.10.2001 года № 131-ФЗ «Об общих принципах осуществления местного самоуправления в Российской Федерации», Земельным кодексом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>от 25.10.2001 года               № 137-ФЗ «О введении в действие Земельного  кодекса Российской Федерации», постановлением Правительства Российской Федерации от 10.07.2018 года № 800 «О проведении рекультивации и консервации земель», иными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Саратовской области, настоящим Положением и иными муниципальными правовыми актами.</w:t>
      </w:r>
    </w:p>
    <w:p w:rsidR="00501364" w:rsidRDefault="0050136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1364" w:rsidRDefault="00E362AD">
      <w:pPr>
        <w:pStyle w:val="a3"/>
        <w:numPr>
          <w:ilvl w:val="0"/>
          <w:numId w:val="1"/>
        </w:numPr>
        <w:spacing w:line="240" w:lineRule="auto"/>
        <w:ind w:left="502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и функции Комиссии</w:t>
      </w:r>
    </w:p>
    <w:p w:rsidR="00501364" w:rsidRDefault="0050136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1364" w:rsidRDefault="00E362AD">
      <w:pPr>
        <w:pStyle w:val="a3"/>
        <w:numPr>
          <w:ilvl w:val="1"/>
          <w:numId w:val="1"/>
        </w:num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оказание содействия Главе Красноармейского муниципального рай</w:t>
      </w:r>
      <w:r>
        <w:rPr>
          <w:rFonts w:ascii="Times New Roman" w:eastAsia="Times New Roman" w:hAnsi="Times New Roman"/>
          <w:sz w:val="28"/>
          <w:szCs w:val="28"/>
        </w:rPr>
        <w:t xml:space="preserve">она, органам администрации Красноармейского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при осуществлении деятельности, направленной на сохранение земель как важнейшего компонента окружающей среды и природного ресурса;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координация деятельности органов государственн</w:t>
      </w:r>
      <w:r>
        <w:rPr>
          <w:rFonts w:ascii="Times New Roman" w:eastAsia="Times New Roman" w:hAnsi="Times New Roman"/>
          <w:sz w:val="28"/>
          <w:szCs w:val="28"/>
        </w:rPr>
        <w:t>ой власти и местного самоуправления, организаций и граждан, направленной на охрану земель, расположенных на территории поселений, входящих в состав Красноармейского муниципального района.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 Для решения возложенных на нее задач Комиссия осуществляет сле</w:t>
      </w:r>
      <w:r>
        <w:rPr>
          <w:rFonts w:ascii="Times New Roman" w:eastAsia="Times New Roman" w:hAnsi="Times New Roman"/>
          <w:sz w:val="28"/>
          <w:szCs w:val="28"/>
        </w:rPr>
        <w:t>дующие основные функции:</w:t>
      </w:r>
    </w:p>
    <w:p w:rsidR="00501364" w:rsidRDefault="00E362A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анализирует информацию, связанную с проведением мероприятий по охране земель, расположенных на территории 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Красноармейкого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том числе мероприятий по рекультивации земель и консе</w:t>
      </w:r>
      <w:r>
        <w:rPr>
          <w:rFonts w:ascii="Times New Roman" w:hAnsi="Times New Roman"/>
          <w:sz w:val="28"/>
          <w:szCs w:val="28"/>
        </w:rPr>
        <w:t xml:space="preserve">рвации земель;                                                   </w:t>
      </w:r>
    </w:p>
    <w:p w:rsidR="00501364" w:rsidRDefault="00E362A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рассматривает проекты рекультивации земель, анализирует достаточность и обоснованность предусмотренных в них мероприятий для достижения соответствия </w:t>
      </w:r>
      <w:proofErr w:type="spellStart"/>
      <w:r>
        <w:rPr>
          <w:rFonts w:ascii="Times New Roman" w:hAnsi="Times New Roman"/>
          <w:sz w:val="28"/>
          <w:szCs w:val="28"/>
        </w:rPr>
        <w:t>рекультивируемых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требованиям, пр</w:t>
      </w:r>
      <w:r>
        <w:rPr>
          <w:rFonts w:ascii="Times New Roman" w:hAnsi="Times New Roman"/>
          <w:sz w:val="28"/>
          <w:szCs w:val="28"/>
        </w:rPr>
        <w:t>едусмотренным пунктом 5 Правил проведения рекультивации и консервации земель, утвержденных постановлением Правительства Российской Федерации от 10.07.2018 года № 800 (далее – Правила рекультивации и консервации земель);</w:t>
      </w:r>
    </w:p>
    <w:p w:rsidR="00501364" w:rsidRDefault="00E362A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рассматривает проекты консервации </w:t>
      </w:r>
      <w:r>
        <w:rPr>
          <w:rFonts w:ascii="Times New Roman" w:hAnsi="Times New Roman"/>
          <w:sz w:val="28"/>
          <w:szCs w:val="28"/>
        </w:rPr>
        <w:t>земель, анализирует обоснованность проведения консервации земель в соответствии с пунктом 7 Правил рекультивации и консервации земель, а также достаточность и обоснованность предусмотренных в них мероприятий по консервации земель для достижения целей умень</w:t>
      </w:r>
      <w:r>
        <w:rPr>
          <w:rFonts w:ascii="Times New Roman" w:hAnsi="Times New Roman"/>
          <w:sz w:val="28"/>
          <w:szCs w:val="28"/>
        </w:rPr>
        <w:t xml:space="preserve">шения степени деградации земель, предотвращения их дальнейшей деградации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негативного воздействия нарушенных земель на окружающую среду;</w:t>
      </w:r>
    </w:p>
    <w:p w:rsidR="00501364" w:rsidRDefault="00E362A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вырабатывает рекомендации по вопросам согласования проектов рекультивации земель, проектов консервации земель в</w:t>
      </w:r>
      <w:r>
        <w:rPr>
          <w:rFonts w:ascii="Times New Roman" w:hAnsi="Times New Roman"/>
          <w:sz w:val="28"/>
          <w:szCs w:val="28"/>
        </w:rPr>
        <w:t xml:space="preserve"> случаях, когда такое согласование требуется в соответствии с Правилами рекультивации и консервации земель.</w:t>
      </w:r>
    </w:p>
    <w:p w:rsidR="00501364" w:rsidRDefault="0050136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1364" w:rsidRDefault="00E362AD">
      <w:pPr>
        <w:pStyle w:val="a3"/>
        <w:numPr>
          <w:ilvl w:val="0"/>
          <w:numId w:val="1"/>
        </w:numPr>
        <w:spacing w:after="0" w:line="240" w:lineRule="auto"/>
        <w:ind w:left="502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Комиссии</w:t>
      </w:r>
    </w:p>
    <w:p w:rsidR="00501364" w:rsidRDefault="00501364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501364" w:rsidRDefault="00E36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для осуществления своих функций имеет право:</w:t>
      </w:r>
    </w:p>
    <w:p w:rsidR="00501364" w:rsidRDefault="00E36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в установленном порядке для участия в своей работе представителей </w:t>
      </w:r>
      <w:r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власти, исполнительных органов государственной власти, экспертов, консультантов;</w:t>
      </w:r>
    </w:p>
    <w:p w:rsidR="00501364" w:rsidRDefault="00E36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и получать в установленном порядке от уполномоченных органов местного самоуправления, контрольно-надзорн</w:t>
      </w:r>
      <w:r>
        <w:rPr>
          <w:rFonts w:ascii="Times New Roman" w:hAnsi="Times New Roman"/>
          <w:sz w:val="28"/>
          <w:szCs w:val="28"/>
        </w:rPr>
        <w:t>ых органов, иных исполнительных органов государственной власти, территориальных органов федеральных органов исполнительной власти, организаций информацию и материалы по вопросам, входящим в компетенцию Комиссии;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приглашать и заслушивать на своих заседаниях</w:t>
      </w:r>
      <w:r>
        <w:rPr>
          <w:rFonts w:ascii="Times New Roman" w:eastAsia="Times New Roman" w:hAnsi="Times New Roman"/>
          <w:sz w:val="28"/>
          <w:szCs w:val="28"/>
        </w:rPr>
        <w:t xml:space="preserve"> лиц, деятельность которых привела к деградации земель, в том числе правообладателей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участки, находящиеся в г</w:t>
      </w:r>
      <w:r>
        <w:rPr>
          <w:rFonts w:ascii="Times New Roman" w:eastAsia="Times New Roman" w:hAnsi="Times New Roman"/>
          <w:sz w:val="28"/>
          <w:szCs w:val="28"/>
        </w:rPr>
        <w:t>осударственной или муниципальной собственности, без предоставления земельных участков и установления сервитутов (их представителей), а также представителей проектных организаций;</w:t>
      </w:r>
      <w:proofErr w:type="gramEnd"/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вносить предложения, вести переписку, осуществлять иные права с целью осущест</w:t>
      </w:r>
      <w:r>
        <w:rPr>
          <w:rFonts w:ascii="Times New Roman" w:eastAsia="Times New Roman" w:hAnsi="Times New Roman"/>
          <w:sz w:val="28"/>
          <w:szCs w:val="28"/>
        </w:rPr>
        <w:t>вления функций, входящих в компетенцию Комиссии.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01364" w:rsidRDefault="00E362AD">
      <w:pPr>
        <w:pStyle w:val="a3"/>
        <w:numPr>
          <w:ilvl w:val="0"/>
          <w:numId w:val="1"/>
        </w:numPr>
        <w:spacing w:after="0" w:line="240" w:lineRule="auto"/>
        <w:ind w:left="502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деятельности Комиссии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02"/>
        <w:jc w:val="both"/>
        <w:rPr>
          <w:rFonts w:ascii="Times New Roman" w:eastAsia="Times New Roman" w:hAnsi="Times New Roman"/>
          <w:sz w:val="28"/>
          <w:szCs w:val="28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Состав Комиссии утверждается муниципальным правовым актом администрации Красноармейского муниципального района. 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Руководство деятельностью Комиссии осуществляет </w:t>
      </w:r>
      <w:r>
        <w:rPr>
          <w:rFonts w:ascii="Times New Roman" w:eastAsia="Times New Roman" w:hAnsi="Times New Roman"/>
          <w:sz w:val="28"/>
          <w:szCs w:val="28"/>
        </w:rPr>
        <w:t>председатель Комиссии.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Организационно-правовой формой деятельности Комиссии являются ее заседания.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Заседания Комиссии проводятся по мере необходимости по поручению председателя Комиссии, в том числе в связи с поступлением в Комиссию для </w:t>
      </w:r>
      <w:r>
        <w:rPr>
          <w:rFonts w:ascii="Times New Roman" w:eastAsia="Times New Roman" w:hAnsi="Times New Roman"/>
          <w:sz w:val="28"/>
          <w:szCs w:val="28"/>
        </w:rPr>
        <w:t>рассмотрения и выработки рекомендаций проектов рекультивации земель, проектов консервации земель. Заседания Комиссии считаются правомочными, если на них присутствует более половины ее членов. Решения Комиссии принимаются большинством голосов присутствующих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на заседании Комиссии путем открытого голосования и оформляются протоколом заседания Комиссии. В случае равенства голосов решающим является голос председателя Комиссии.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  Ведение протоколов заседаний Комиссии обеспечивает секретарь Комиссии.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 Про</w:t>
      </w:r>
      <w:r>
        <w:rPr>
          <w:rFonts w:ascii="Times New Roman" w:eastAsia="Times New Roman" w:hAnsi="Times New Roman"/>
          <w:sz w:val="28"/>
          <w:szCs w:val="28"/>
        </w:rPr>
        <w:t>токолы заседания Комиссии носят рекомендательный характер, оформляются в течение трех рабочих дней со дня проведения ее заседания и подписываются председателем и секретарем Комиссии.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4.7. Организационно-техническое и информационно-документационное обеспече</w:t>
      </w:r>
      <w:r>
        <w:rPr>
          <w:rFonts w:ascii="Times New Roman" w:eastAsia="Times New Roman" w:hAnsi="Times New Roman"/>
          <w:sz w:val="28"/>
          <w:szCs w:val="28"/>
        </w:rPr>
        <w:t>ние деятельности Комиссии осуществляет администрации Красноармейского муниципального района.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02"/>
        <w:jc w:val="both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Приложение №2  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постановлению администрации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Красноармейского  муниципального района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т24.01.2022г.</w:t>
      </w:r>
      <w:r>
        <w:rPr>
          <w:rFonts w:ascii="Times New Roman" w:eastAsia="Times New Roman" w:hAnsi="Times New Roman"/>
        </w:rPr>
        <w:t xml:space="preserve"> №56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ДОЛЖНОСТНОЙ СОСТАВ </w:t>
      </w:r>
      <w:r>
        <w:rPr>
          <w:rFonts w:ascii="Times New Roman" w:eastAsia="Times New Roman" w:hAnsi="Times New Roman"/>
          <w:b/>
          <w:sz w:val="26"/>
          <w:szCs w:val="26"/>
        </w:rPr>
        <w:t>МЕЖВЕДОМСТВЕННОЙ КОМИССИИ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ПО РЕКУЛЬТИВАЦИИ И КОНСЕРВАЦИИ ЗЕМЕЛЬ И ЗЕМЕЛЬНЫХ УЧАСТКОВ, РАСПОЛОЖЕННЫХ НА ТЕРРИТОРИИ 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ПОСЕЛЕНИЙ, ВХОДЯЩИХ В СОСТАВ 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КРАСНОАРМЕЙСКОГО МУНИЦИПАЛЬНОГО РАЙОНА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Председатель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- первый заместитель главы администрации Красноар</w:t>
      </w:r>
      <w:r>
        <w:rPr>
          <w:rFonts w:ascii="Times New Roman" w:eastAsia="Times New Roman" w:hAnsi="Times New Roman"/>
          <w:sz w:val="26"/>
          <w:szCs w:val="26"/>
        </w:rPr>
        <w:t>мейского муниципального района</w:t>
      </w:r>
      <w:r>
        <w:rPr>
          <w:rFonts w:ascii="Times New Roman" w:eastAsia="Times New Roman" w:hAnsi="Times New Roman"/>
          <w:i/>
          <w:sz w:val="26"/>
          <w:szCs w:val="26"/>
        </w:rPr>
        <w:t>;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Заместитель председателя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– начальник управления по правовым, имущественным и земельным вопросам администрации Красноармейского муниципального района</w:t>
      </w:r>
      <w:r>
        <w:rPr>
          <w:rFonts w:ascii="Times New Roman" w:eastAsia="Times New Roman" w:hAnsi="Times New Roman"/>
          <w:i/>
          <w:sz w:val="26"/>
          <w:szCs w:val="26"/>
        </w:rPr>
        <w:t>;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Секретарь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– старший инспектор отдела по имущественным и земельным вопросам администрации Красноармейского муниципального района</w:t>
      </w:r>
      <w:r>
        <w:rPr>
          <w:rFonts w:ascii="Times New Roman" w:eastAsia="Times New Roman" w:hAnsi="Times New Roman"/>
          <w:i/>
          <w:sz w:val="26"/>
          <w:szCs w:val="26"/>
        </w:rPr>
        <w:t>;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Члены комиссии: 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 отдела по имущественным и земельным вопросам администрации Красноармейского муниципального района</w:t>
      </w:r>
      <w:r>
        <w:rPr>
          <w:rFonts w:ascii="Times New Roman" w:eastAsia="Times New Roman" w:hAnsi="Times New Roman"/>
          <w:i/>
          <w:sz w:val="26"/>
          <w:szCs w:val="26"/>
        </w:rPr>
        <w:t>;</w:t>
      </w:r>
    </w:p>
    <w:p w:rsidR="00501364" w:rsidRDefault="00E36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>
        <w:rPr>
          <w:rFonts w:ascii="Times New Roman" w:eastAsia="Times New Roman" w:hAnsi="Times New Roman"/>
          <w:sz w:val="26"/>
          <w:szCs w:val="26"/>
        </w:rPr>
        <w:t xml:space="preserve"> управления сельского хозяйства администрации Красноармейского муниципального района;</w:t>
      </w: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Times New Roman" w:eastAsia="Times New Roman" w:hAnsi="Times New Roman"/>
          <w:sz w:val="26"/>
          <w:szCs w:val="26"/>
        </w:rPr>
      </w:pPr>
    </w:p>
    <w:p w:rsidR="00501364" w:rsidRDefault="00501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1364" w:rsidRDefault="00E362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sectPr w:rsidR="00501364">
      <w:endnotePr>
        <w:numFmt w:val="decimal"/>
      </w:endnotePr>
      <w:pgSz w:w="11906" w:h="16838"/>
      <w:pgMar w:top="1134" w:right="850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737"/>
    <w:multiLevelType w:val="hybridMultilevel"/>
    <w:tmpl w:val="7982F182"/>
    <w:lvl w:ilvl="0" w:tplc="88EAE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48E0E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A8B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99ED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2AE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74E545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1E29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ED2F9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F8A8B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F870B9F"/>
    <w:multiLevelType w:val="multilevel"/>
    <w:tmpl w:val="2512946C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501364"/>
    <w:rsid w:val="00501364"/>
    <w:rsid w:val="00E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0"/>
    </w:pPr>
    <w:rPr>
      <w:rFonts w:ascii="Arial" w:eastAsia="SimSun" w:hAnsi="Arial" w:cs="Arial"/>
      <w:b/>
      <w:kern w:val="1"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pPr>
      <w:pBdr>
        <w:top w:val="nil"/>
        <w:left w:val="nil"/>
        <w:bottom w:val="nil"/>
        <w:right w:val="nil"/>
        <w:between w:val="nil"/>
      </w:pBdr>
      <w:ind w:left="720"/>
      <w:contextualSpacing/>
    </w:pPr>
  </w:style>
  <w:style w:type="character" w:customStyle="1" w:styleId="s1">
    <w:name w:val="s1"/>
    <w:basedOn w:val="a0"/>
  </w:style>
  <w:style w:type="paragraph" w:styleId="a4">
    <w:name w:val="Balloon Text"/>
    <w:basedOn w:val="a"/>
    <w:link w:val="a5"/>
    <w:uiPriority w:val="99"/>
    <w:rsid w:val="00E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3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0"/>
    </w:pPr>
    <w:rPr>
      <w:rFonts w:ascii="Arial" w:eastAsia="SimSun" w:hAnsi="Arial" w:cs="Arial"/>
      <w:b/>
      <w:kern w:val="1"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pPr>
      <w:pBdr>
        <w:top w:val="nil"/>
        <w:left w:val="nil"/>
        <w:bottom w:val="nil"/>
        <w:right w:val="nil"/>
        <w:between w:val="nil"/>
      </w:pBdr>
      <w:ind w:left="720"/>
      <w:contextualSpacing/>
    </w:pPr>
  </w:style>
  <w:style w:type="character" w:customStyle="1" w:styleId="s1">
    <w:name w:val="s1"/>
    <w:basedOn w:val="a0"/>
  </w:style>
  <w:style w:type="paragraph" w:styleId="a4">
    <w:name w:val="Balloon Text"/>
    <w:basedOn w:val="a"/>
    <w:link w:val="a5"/>
    <w:uiPriority w:val="99"/>
    <w:rsid w:val="00E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3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Исайкина</dc:creator>
  <cp:keywords/>
  <dc:description/>
  <cp:lastModifiedBy>Приёмная</cp:lastModifiedBy>
  <cp:revision>17</cp:revision>
  <cp:lastPrinted>2022-01-25T11:41:00Z</cp:lastPrinted>
  <dcterms:created xsi:type="dcterms:W3CDTF">2017-07-07T06:22:00Z</dcterms:created>
  <dcterms:modified xsi:type="dcterms:W3CDTF">2022-01-25T11:42:00Z</dcterms:modified>
</cp:coreProperties>
</file>